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3AE9" w14:textId="5942E1A6" w:rsidR="00A047FB" w:rsidRPr="009927E1" w:rsidRDefault="00A047FB" w:rsidP="005E2FB4">
      <w:pPr>
        <w:spacing w:after="0" w:line="360" w:lineRule="auto"/>
        <w:jc w:val="both"/>
        <w:rPr>
          <w:rFonts w:ascii="Times New Roman" w:hAnsi="Times New Roman" w:cs="Times New Roman"/>
          <w:sz w:val="28"/>
          <w:szCs w:val="28"/>
          <w:lang w:val="en-GB"/>
        </w:rPr>
      </w:pPr>
      <w:r w:rsidRPr="009927E1">
        <w:rPr>
          <w:rFonts w:ascii="Times New Roman" w:hAnsi="Times New Roman" w:cs="Times New Roman"/>
          <w:sz w:val="28"/>
          <w:szCs w:val="28"/>
          <w:lang w:val="en-GB"/>
        </w:rPr>
        <w:t xml:space="preserve">Municipal size and efficiency in Romania. </w:t>
      </w:r>
      <w:r w:rsidR="005014B4">
        <w:rPr>
          <w:rFonts w:ascii="Times New Roman" w:hAnsi="Times New Roman" w:cs="Times New Roman"/>
          <w:sz w:val="28"/>
          <w:szCs w:val="28"/>
          <w:lang w:val="en-GB"/>
        </w:rPr>
        <w:t>Larger</w:t>
      </w:r>
      <w:r w:rsidRPr="009927E1">
        <w:rPr>
          <w:rFonts w:ascii="Times New Roman" w:hAnsi="Times New Roman" w:cs="Times New Roman"/>
          <w:sz w:val="28"/>
          <w:szCs w:val="28"/>
          <w:lang w:val="en-GB"/>
        </w:rPr>
        <w:t xml:space="preserve"> is better?</w:t>
      </w:r>
    </w:p>
    <w:p w14:paraId="0309DD56" w14:textId="2B148995" w:rsidR="00A047FB" w:rsidRPr="009927E1" w:rsidRDefault="001A295B" w:rsidP="005E2FB4">
      <w:pPr>
        <w:suppressAutoHyphens/>
        <w:autoSpaceDE w:val="0"/>
        <w:autoSpaceDN w:val="0"/>
        <w:adjustRightInd w:val="0"/>
        <w:spacing w:after="0" w:line="360" w:lineRule="auto"/>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Țâra Sergiu</w:t>
      </w:r>
    </w:p>
    <w:p w14:paraId="189C141D" w14:textId="77777777" w:rsidR="0060790E" w:rsidRPr="009927E1" w:rsidRDefault="0060790E" w:rsidP="005E2FB4">
      <w:pPr>
        <w:suppressAutoHyphens/>
        <w:autoSpaceDE w:val="0"/>
        <w:autoSpaceDN w:val="0"/>
        <w:adjustRightInd w:val="0"/>
        <w:spacing w:after="0" w:line="360" w:lineRule="auto"/>
        <w:textAlignment w:val="center"/>
        <w:rPr>
          <w:rFonts w:ascii="Times New Roman" w:hAnsi="Times New Roman" w:cs="Times New Roman"/>
          <w:color w:val="000000"/>
          <w:sz w:val="24"/>
          <w:szCs w:val="24"/>
          <w:lang w:val="en-GB"/>
        </w:rPr>
      </w:pPr>
    </w:p>
    <w:p w14:paraId="666CCD68" w14:textId="5C573513" w:rsidR="0047072F" w:rsidRPr="009927E1" w:rsidRDefault="0047072F" w:rsidP="005E2FB4">
      <w:pPr>
        <w:suppressAutoHyphens/>
        <w:autoSpaceDE w:val="0"/>
        <w:autoSpaceDN w:val="0"/>
        <w:adjustRightInd w:val="0"/>
        <w:spacing w:after="0" w:line="360" w:lineRule="auto"/>
        <w:textAlignment w:val="center"/>
        <w:rPr>
          <w:rFonts w:ascii="Times New Roman" w:hAnsi="Times New Roman" w:cs="Times New Roman"/>
          <w:i/>
          <w:iCs/>
          <w:color w:val="000000"/>
          <w:sz w:val="24"/>
          <w:szCs w:val="24"/>
          <w:lang w:val="en-GB"/>
        </w:rPr>
      </w:pPr>
      <w:r w:rsidRPr="009927E1">
        <w:rPr>
          <w:rFonts w:ascii="Times New Roman" w:hAnsi="Times New Roman" w:cs="Times New Roman"/>
          <w:i/>
          <w:iCs/>
          <w:color w:val="000000"/>
          <w:sz w:val="24"/>
          <w:szCs w:val="24"/>
          <w:lang w:val="en-GB"/>
        </w:rPr>
        <w:t>Abstract</w:t>
      </w:r>
    </w:p>
    <w:p w14:paraId="2C8D9AAE" w14:textId="282CFAD2" w:rsidR="00A047FB" w:rsidRPr="009927E1" w:rsidRDefault="00A047FB" w:rsidP="005E2FB4">
      <w:pPr>
        <w:spacing w:after="0" w:line="360" w:lineRule="auto"/>
        <w:jc w:val="both"/>
        <w:rPr>
          <w:rFonts w:ascii="Times New Roman" w:hAnsi="Times New Roman" w:cs="Times New Roman"/>
          <w:sz w:val="24"/>
          <w:szCs w:val="24"/>
          <w:lang w:val="en-GB"/>
        </w:rPr>
      </w:pPr>
      <w:r w:rsidRPr="009927E1">
        <w:rPr>
          <w:rFonts w:ascii="Times New Roman" w:hAnsi="Times New Roman" w:cs="Times New Roman"/>
          <w:sz w:val="24"/>
          <w:szCs w:val="24"/>
          <w:lang w:val="en-GB"/>
        </w:rPr>
        <w:t xml:space="preserve">Territorial reforms took place in several countries of Western Europe beginning with 1950 and of </w:t>
      </w:r>
      <w:r w:rsidR="00BF7AFD">
        <w:rPr>
          <w:rFonts w:ascii="Times New Roman" w:hAnsi="Times New Roman" w:cs="Times New Roman"/>
          <w:sz w:val="24"/>
          <w:szCs w:val="24"/>
          <w:lang w:val="en-GB"/>
        </w:rPr>
        <w:t xml:space="preserve">the </w:t>
      </w:r>
      <w:r w:rsidRPr="009927E1">
        <w:rPr>
          <w:rFonts w:ascii="Times New Roman" w:hAnsi="Times New Roman" w:cs="Times New Roman"/>
          <w:sz w:val="24"/>
          <w:szCs w:val="24"/>
          <w:lang w:val="en-GB"/>
        </w:rPr>
        <w:t>Central and Eastern Europe after 1990. The theoretical premises of these reforms were those that larger local authorities will be more efficient in delivering public services to citizens, tailor made for local needs. Unfortunately, the reality proved a little much more complex; the reforms determined different administrative and economic outputs, so the</w:t>
      </w:r>
      <w:r w:rsidR="005E2FB4" w:rsidRPr="009927E1">
        <w:rPr>
          <w:rFonts w:ascii="Times New Roman" w:hAnsi="Times New Roman" w:cs="Times New Roman"/>
          <w:sz w:val="24"/>
          <w:szCs w:val="24"/>
          <w:lang w:val="en-GB"/>
        </w:rPr>
        <w:t xml:space="preserve"> </w:t>
      </w:r>
      <w:r w:rsidR="00AD2A5C" w:rsidRPr="009927E1">
        <w:rPr>
          <w:rFonts w:ascii="Times New Roman" w:hAnsi="Times New Roman" w:cs="Times New Roman"/>
          <w:sz w:val="24"/>
          <w:szCs w:val="24"/>
          <w:lang w:val="en-GB"/>
        </w:rPr>
        <w:t>’</w:t>
      </w:r>
      <w:r w:rsidRPr="009927E1">
        <w:rPr>
          <w:rFonts w:ascii="Times New Roman" w:hAnsi="Times New Roman" w:cs="Times New Roman"/>
          <w:sz w:val="24"/>
          <w:szCs w:val="24"/>
          <w:lang w:val="en-GB"/>
        </w:rPr>
        <w:t>economies of scale</w:t>
      </w:r>
      <w:r w:rsidR="00AD2A5C" w:rsidRPr="009927E1">
        <w:rPr>
          <w:rFonts w:ascii="Times New Roman" w:hAnsi="Times New Roman" w:cs="Times New Roman"/>
          <w:sz w:val="24"/>
          <w:szCs w:val="24"/>
          <w:lang w:val="en-GB"/>
        </w:rPr>
        <w:t>’</w:t>
      </w:r>
      <w:r w:rsidRPr="009927E1">
        <w:rPr>
          <w:rFonts w:ascii="Times New Roman" w:hAnsi="Times New Roman" w:cs="Times New Roman"/>
          <w:sz w:val="24"/>
          <w:szCs w:val="24"/>
          <w:lang w:val="en-GB"/>
        </w:rPr>
        <w:t xml:space="preserve"> and </w:t>
      </w:r>
      <w:r w:rsidR="00AD2A5C" w:rsidRPr="009927E1">
        <w:rPr>
          <w:rFonts w:ascii="Times New Roman" w:hAnsi="Times New Roman" w:cs="Times New Roman"/>
          <w:sz w:val="24"/>
          <w:szCs w:val="24"/>
          <w:lang w:val="en-GB"/>
        </w:rPr>
        <w:t>‘</w:t>
      </w:r>
      <w:r w:rsidRPr="009927E1">
        <w:rPr>
          <w:rFonts w:ascii="Times New Roman" w:hAnsi="Times New Roman" w:cs="Times New Roman"/>
          <w:sz w:val="24"/>
          <w:szCs w:val="24"/>
          <w:lang w:val="en-GB"/>
        </w:rPr>
        <w:t>democracy</w:t>
      </w:r>
      <w:r w:rsidR="00AD2A5C" w:rsidRPr="009927E1">
        <w:rPr>
          <w:rFonts w:ascii="Times New Roman" w:hAnsi="Times New Roman" w:cs="Times New Roman"/>
          <w:sz w:val="24"/>
          <w:szCs w:val="24"/>
          <w:lang w:val="en-GB"/>
        </w:rPr>
        <w:t>’</w:t>
      </w:r>
      <w:r w:rsidRPr="009927E1">
        <w:rPr>
          <w:rFonts w:ascii="Times New Roman" w:hAnsi="Times New Roman" w:cs="Times New Roman"/>
          <w:sz w:val="24"/>
          <w:szCs w:val="24"/>
          <w:lang w:val="en-GB"/>
        </w:rPr>
        <w:t xml:space="preserve"> arguments remained </w:t>
      </w:r>
      <w:r w:rsidR="00AD2A5C" w:rsidRPr="009927E1">
        <w:rPr>
          <w:rFonts w:ascii="Times New Roman" w:hAnsi="Times New Roman" w:cs="Times New Roman"/>
          <w:sz w:val="24"/>
          <w:szCs w:val="24"/>
          <w:lang w:val="en-GB"/>
        </w:rPr>
        <w:t>without a definitive answer</w:t>
      </w:r>
      <w:r w:rsidRPr="009927E1">
        <w:rPr>
          <w:rFonts w:ascii="Times New Roman" w:hAnsi="Times New Roman" w:cs="Times New Roman"/>
          <w:sz w:val="24"/>
          <w:szCs w:val="24"/>
          <w:lang w:val="en-GB"/>
        </w:rPr>
        <w:t xml:space="preserve"> and the debates are still dividing specialists and political leaders.</w:t>
      </w:r>
    </w:p>
    <w:p w14:paraId="4F73CFD7" w14:textId="27F7EB14" w:rsidR="00A047FB" w:rsidRPr="009927E1" w:rsidRDefault="00A047FB" w:rsidP="005E2FB4">
      <w:pPr>
        <w:spacing w:after="0" w:line="360" w:lineRule="auto"/>
        <w:jc w:val="both"/>
        <w:rPr>
          <w:rFonts w:ascii="Times New Roman" w:hAnsi="Times New Roman" w:cs="Times New Roman"/>
          <w:sz w:val="24"/>
          <w:szCs w:val="24"/>
          <w:lang w:val="en-GB"/>
        </w:rPr>
      </w:pPr>
      <w:r w:rsidRPr="009927E1">
        <w:rPr>
          <w:rFonts w:ascii="Times New Roman" w:hAnsi="Times New Roman" w:cs="Times New Roman"/>
          <w:sz w:val="24"/>
          <w:szCs w:val="24"/>
          <w:lang w:val="en-GB"/>
        </w:rPr>
        <w:t xml:space="preserve">The paper </w:t>
      </w:r>
      <w:r w:rsidR="00654C94" w:rsidRPr="009927E1">
        <w:rPr>
          <w:rFonts w:ascii="Times New Roman" w:hAnsi="Times New Roman" w:cs="Times New Roman"/>
          <w:sz w:val="24"/>
          <w:szCs w:val="24"/>
          <w:lang w:val="en-GB"/>
        </w:rPr>
        <w:t>analyses</w:t>
      </w:r>
      <w:r w:rsidRPr="009927E1">
        <w:rPr>
          <w:rFonts w:ascii="Times New Roman" w:hAnsi="Times New Roman" w:cs="Times New Roman"/>
          <w:sz w:val="24"/>
          <w:szCs w:val="24"/>
          <w:lang w:val="en-GB"/>
        </w:rPr>
        <w:t xml:space="preserve"> those territorial reforms and their relevance in the context of Romanian current debates and realities. The findings from the case of other countries are compared with data of the Romanian municipalities, and implication on the optimal municipal size, cost-efficiency improvements, impact on local democracy and </w:t>
      </w:r>
      <w:r w:rsidR="0097107E" w:rsidRPr="009927E1">
        <w:rPr>
          <w:rFonts w:ascii="Times New Roman" w:hAnsi="Times New Roman" w:cs="Times New Roman"/>
          <w:sz w:val="24"/>
          <w:szCs w:val="24"/>
          <w:lang w:val="en-GB"/>
        </w:rPr>
        <w:t xml:space="preserve">political </w:t>
      </w:r>
      <w:r w:rsidRPr="009927E1">
        <w:rPr>
          <w:rFonts w:ascii="Times New Roman" w:hAnsi="Times New Roman" w:cs="Times New Roman"/>
          <w:sz w:val="24"/>
          <w:szCs w:val="24"/>
          <w:lang w:val="en-GB"/>
        </w:rPr>
        <w:t xml:space="preserve">participation are discussed. The conclusion is that any </w:t>
      </w:r>
      <w:r w:rsidR="00F655B5">
        <w:rPr>
          <w:rFonts w:ascii="Times New Roman" w:hAnsi="Times New Roman" w:cs="Times New Roman"/>
          <w:sz w:val="24"/>
          <w:szCs w:val="24"/>
          <w:lang w:val="en-GB"/>
        </w:rPr>
        <w:t>territorial</w:t>
      </w:r>
      <w:r w:rsidRPr="009927E1">
        <w:rPr>
          <w:rFonts w:ascii="Times New Roman" w:hAnsi="Times New Roman" w:cs="Times New Roman"/>
          <w:sz w:val="24"/>
          <w:szCs w:val="24"/>
          <w:lang w:val="en-GB"/>
        </w:rPr>
        <w:t xml:space="preserve"> should be done looking to all the possible outputs </w:t>
      </w:r>
      <w:r w:rsidR="0097107E" w:rsidRPr="009927E1">
        <w:rPr>
          <w:rFonts w:ascii="Times New Roman" w:hAnsi="Times New Roman" w:cs="Times New Roman"/>
          <w:sz w:val="24"/>
          <w:szCs w:val="24"/>
          <w:lang w:val="en-GB"/>
        </w:rPr>
        <w:t>(in terms of size, but also</w:t>
      </w:r>
      <w:r w:rsidR="006A33EE">
        <w:rPr>
          <w:rFonts w:ascii="Times New Roman" w:hAnsi="Times New Roman" w:cs="Times New Roman"/>
          <w:sz w:val="24"/>
          <w:szCs w:val="24"/>
          <w:lang w:val="en-GB"/>
        </w:rPr>
        <w:t xml:space="preserve"> of</w:t>
      </w:r>
      <w:r w:rsidR="0097107E" w:rsidRPr="009927E1">
        <w:rPr>
          <w:rFonts w:ascii="Times New Roman" w:hAnsi="Times New Roman" w:cs="Times New Roman"/>
          <w:sz w:val="24"/>
          <w:szCs w:val="24"/>
          <w:lang w:val="en-GB"/>
        </w:rPr>
        <w:t xml:space="preserve"> the density of population, availability and costs of public services, decentralization and local democracy, participation in political life, protection of the ethnic minorities, etc.) </w:t>
      </w:r>
      <w:r w:rsidRPr="009927E1">
        <w:rPr>
          <w:rFonts w:ascii="Times New Roman" w:hAnsi="Times New Roman" w:cs="Times New Roman"/>
          <w:sz w:val="24"/>
          <w:szCs w:val="24"/>
          <w:lang w:val="en-GB"/>
        </w:rPr>
        <w:t>and how these will affect citizens.</w:t>
      </w:r>
      <w:r w:rsidR="00F655B5" w:rsidRPr="00F655B5">
        <w:rPr>
          <w:rFonts w:ascii="Times New Roman" w:hAnsi="Times New Roman" w:cs="Times New Roman"/>
          <w:color w:val="000000"/>
          <w:sz w:val="24"/>
          <w:szCs w:val="24"/>
          <w:lang w:val="en-GB"/>
        </w:rPr>
        <w:t xml:space="preserve"> </w:t>
      </w:r>
      <w:r w:rsidR="00F655B5">
        <w:rPr>
          <w:rFonts w:ascii="Times New Roman" w:hAnsi="Times New Roman" w:cs="Times New Roman"/>
          <w:color w:val="000000"/>
          <w:sz w:val="24"/>
          <w:szCs w:val="24"/>
          <w:lang w:val="en-GB"/>
        </w:rPr>
        <w:t>More than that, t</w:t>
      </w:r>
      <w:r w:rsidR="00F655B5" w:rsidRPr="009927E1">
        <w:rPr>
          <w:rFonts w:ascii="Times New Roman" w:hAnsi="Times New Roman" w:cs="Times New Roman"/>
          <w:color w:val="000000"/>
          <w:sz w:val="24"/>
          <w:szCs w:val="24"/>
          <w:lang w:val="en-GB"/>
        </w:rPr>
        <w:t xml:space="preserve">he data regarding Romanian municipalities shows there is no </w:t>
      </w:r>
      <w:r w:rsidR="004A5A7C">
        <w:rPr>
          <w:rFonts w:ascii="Times New Roman" w:hAnsi="Times New Roman" w:cs="Times New Roman"/>
          <w:color w:val="000000"/>
          <w:sz w:val="24"/>
          <w:szCs w:val="24"/>
          <w:lang w:val="en-GB"/>
        </w:rPr>
        <w:t xml:space="preserve">evident </w:t>
      </w:r>
      <w:r w:rsidR="00F655B5" w:rsidRPr="009927E1">
        <w:rPr>
          <w:rFonts w:ascii="Times New Roman" w:hAnsi="Times New Roman" w:cs="Times New Roman"/>
          <w:color w:val="000000"/>
          <w:sz w:val="24"/>
          <w:szCs w:val="24"/>
          <w:lang w:val="en-GB"/>
        </w:rPr>
        <w:t xml:space="preserve">correlation between </w:t>
      </w:r>
      <w:r w:rsidR="004A5A7C">
        <w:rPr>
          <w:rFonts w:ascii="Times New Roman" w:hAnsi="Times New Roman" w:cs="Times New Roman"/>
          <w:color w:val="000000"/>
          <w:sz w:val="24"/>
          <w:szCs w:val="24"/>
          <w:lang w:val="en-GB"/>
        </w:rPr>
        <w:t xml:space="preserve">some </w:t>
      </w:r>
      <w:r w:rsidR="00F655B5" w:rsidRPr="009927E1">
        <w:rPr>
          <w:rFonts w:ascii="Times New Roman" w:hAnsi="Times New Roman" w:cs="Times New Roman"/>
          <w:color w:val="000000"/>
          <w:sz w:val="24"/>
          <w:szCs w:val="24"/>
          <w:lang w:val="en-GB"/>
        </w:rPr>
        <w:t xml:space="preserve">financial indicators and the number of populations. This means that an up-scaling will have the impact of reducing the number of </w:t>
      </w:r>
      <w:r w:rsidR="004A5A7C" w:rsidRPr="009927E1">
        <w:rPr>
          <w:rFonts w:ascii="Times New Roman" w:hAnsi="Times New Roman" w:cs="Times New Roman"/>
          <w:color w:val="000000"/>
          <w:sz w:val="24"/>
          <w:szCs w:val="24"/>
          <w:lang w:val="en-GB"/>
        </w:rPr>
        <w:t>municipalities</w:t>
      </w:r>
      <w:r w:rsidR="004A5A7C">
        <w:rPr>
          <w:rFonts w:ascii="Times New Roman" w:hAnsi="Times New Roman" w:cs="Times New Roman"/>
          <w:color w:val="000000"/>
          <w:sz w:val="24"/>
          <w:szCs w:val="24"/>
          <w:lang w:val="en-GB"/>
        </w:rPr>
        <w:t xml:space="preserve"> but</w:t>
      </w:r>
      <w:r w:rsidR="00F655B5" w:rsidRPr="009927E1">
        <w:rPr>
          <w:rFonts w:ascii="Times New Roman" w:hAnsi="Times New Roman" w:cs="Times New Roman"/>
          <w:color w:val="000000"/>
          <w:sz w:val="24"/>
          <w:szCs w:val="24"/>
          <w:lang w:val="en-GB"/>
        </w:rPr>
        <w:t xml:space="preserve"> will not change the performance of that local authorities.</w:t>
      </w:r>
    </w:p>
    <w:p w14:paraId="28F941A6" w14:textId="0789BC51" w:rsidR="00A047FB" w:rsidRPr="009927E1" w:rsidRDefault="00A047FB" w:rsidP="005E2FB4">
      <w:pPr>
        <w:spacing w:after="0" w:line="360" w:lineRule="auto"/>
        <w:jc w:val="both"/>
        <w:rPr>
          <w:rFonts w:ascii="Times New Roman" w:hAnsi="Times New Roman" w:cs="Times New Roman"/>
          <w:sz w:val="24"/>
          <w:szCs w:val="24"/>
          <w:lang w:val="en-GB"/>
        </w:rPr>
      </w:pPr>
      <w:r w:rsidRPr="009927E1">
        <w:rPr>
          <w:rFonts w:ascii="Times New Roman" w:hAnsi="Times New Roman" w:cs="Times New Roman"/>
          <w:i/>
          <w:iCs/>
          <w:sz w:val="24"/>
          <w:szCs w:val="24"/>
          <w:lang w:val="en-GB"/>
        </w:rPr>
        <w:t>Keywords</w:t>
      </w:r>
      <w:r w:rsidRPr="009927E1">
        <w:rPr>
          <w:rFonts w:ascii="Times New Roman" w:hAnsi="Times New Roman" w:cs="Times New Roman"/>
          <w:sz w:val="24"/>
          <w:szCs w:val="24"/>
          <w:lang w:val="en-GB"/>
        </w:rPr>
        <w:t xml:space="preserve">: decentralization, economies of scale, </w:t>
      </w:r>
      <w:r w:rsidR="005B2EA3" w:rsidRPr="009927E1">
        <w:rPr>
          <w:rFonts w:ascii="Times New Roman" w:hAnsi="Times New Roman" w:cs="Times New Roman"/>
          <w:sz w:val="24"/>
          <w:szCs w:val="24"/>
          <w:lang w:val="en-GB"/>
        </w:rPr>
        <w:t>territorial reforms</w:t>
      </w:r>
      <w:r w:rsidRPr="009927E1">
        <w:rPr>
          <w:rFonts w:ascii="Times New Roman" w:hAnsi="Times New Roman" w:cs="Times New Roman"/>
          <w:sz w:val="24"/>
          <w:szCs w:val="24"/>
          <w:lang w:val="en-GB"/>
        </w:rPr>
        <w:t xml:space="preserve">, </w:t>
      </w:r>
      <w:r w:rsidR="005B2EA3" w:rsidRPr="009927E1">
        <w:rPr>
          <w:rFonts w:ascii="Times New Roman" w:hAnsi="Times New Roman" w:cs="Times New Roman"/>
          <w:sz w:val="24"/>
          <w:szCs w:val="24"/>
          <w:lang w:val="en-GB"/>
        </w:rPr>
        <w:t>municipal size</w:t>
      </w:r>
      <w:r w:rsidRPr="009927E1">
        <w:rPr>
          <w:rFonts w:ascii="Times New Roman" w:hAnsi="Times New Roman" w:cs="Times New Roman"/>
          <w:sz w:val="24"/>
          <w:szCs w:val="24"/>
          <w:lang w:val="en-GB"/>
        </w:rPr>
        <w:t>, public services</w:t>
      </w:r>
    </w:p>
    <w:p w14:paraId="13166614" w14:textId="7B34574B" w:rsidR="00010EA0" w:rsidRPr="009927E1" w:rsidRDefault="00010EA0" w:rsidP="00D4507A">
      <w:pPr>
        <w:suppressAutoHyphens/>
        <w:autoSpaceDE w:val="0"/>
        <w:autoSpaceDN w:val="0"/>
        <w:adjustRightInd w:val="0"/>
        <w:spacing w:after="0" w:line="240" w:lineRule="auto"/>
        <w:jc w:val="both"/>
        <w:textAlignment w:val="center"/>
        <w:rPr>
          <w:rFonts w:ascii="Times New Roman" w:hAnsi="Times New Roman" w:cs="Times New Roman"/>
          <w:i/>
          <w:iCs/>
          <w:color w:val="000000"/>
          <w:lang w:val="en-GB"/>
        </w:rPr>
      </w:pPr>
      <w:r w:rsidRPr="009927E1">
        <w:rPr>
          <w:rFonts w:ascii="Times New Roman" w:hAnsi="Times New Roman" w:cs="Times New Roman"/>
          <w:i/>
          <w:iCs/>
          <w:color w:val="000000"/>
          <w:lang w:val="en-GB"/>
        </w:rPr>
        <w:t>Author description</w:t>
      </w:r>
      <w:r w:rsidRPr="009927E1">
        <w:rPr>
          <w:rFonts w:ascii="Times New Roman" w:hAnsi="Times New Roman" w:cs="Times New Roman"/>
          <w:color w:val="000000"/>
          <w:lang w:val="en-GB"/>
        </w:rPr>
        <w:t>: The author was born on 1</w:t>
      </w:r>
      <w:r w:rsidRPr="009927E1">
        <w:rPr>
          <w:rFonts w:ascii="Times New Roman" w:hAnsi="Times New Roman" w:cs="Times New Roman"/>
          <w:color w:val="000000"/>
          <w:vertAlign w:val="superscript"/>
          <w:lang w:val="en-GB"/>
        </w:rPr>
        <w:t>st</w:t>
      </w:r>
      <w:r w:rsidRPr="009927E1">
        <w:rPr>
          <w:rFonts w:ascii="Times New Roman" w:hAnsi="Times New Roman" w:cs="Times New Roman"/>
          <w:color w:val="000000"/>
          <w:lang w:val="en-GB"/>
        </w:rPr>
        <w:t xml:space="preserve"> of December 1974 in Alba-Iulia and graduated the Faculty of Political and Administrative Sciences from the University </w:t>
      </w:r>
      <w:r w:rsidR="007E0431">
        <w:rPr>
          <w:rFonts w:ascii="Times New Roman" w:hAnsi="Times New Roman" w:cs="Times New Roman"/>
          <w:color w:val="000000"/>
          <w:lang w:val="en-GB"/>
        </w:rPr>
        <w:t>‘</w:t>
      </w:r>
      <w:r w:rsidRPr="009927E1">
        <w:rPr>
          <w:rFonts w:ascii="Times New Roman" w:hAnsi="Times New Roman" w:cs="Times New Roman"/>
          <w:color w:val="000000"/>
          <w:lang w:val="en-GB"/>
        </w:rPr>
        <w:t>Babeș-Bolyai</w:t>
      </w:r>
      <w:r w:rsidR="007E0431">
        <w:rPr>
          <w:rFonts w:ascii="Times New Roman" w:hAnsi="Times New Roman" w:cs="Times New Roman"/>
          <w:color w:val="000000"/>
          <w:lang w:val="en-GB"/>
        </w:rPr>
        <w:t>’</w:t>
      </w:r>
      <w:r w:rsidRPr="009927E1">
        <w:rPr>
          <w:rFonts w:ascii="Times New Roman" w:hAnsi="Times New Roman" w:cs="Times New Roman"/>
          <w:color w:val="000000"/>
          <w:lang w:val="en-GB"/>
        </w:rPr>
        <w:t xml:space="preserve"> Cluj-Napoca in 1997. In 2011, he became Doctor in Sociology at the School of Sociology and Social Work of the University of Bucharest with the thesis </w:t>
      </w:r>
      <w:r w:rsidRPr="009927E1">
        <w:rPr>
          <w:rFonts w:ascii="Times New Roman" w:hAnsi="Times New Roman" w:cs="Times New Roman"/>
          <w:i/>
          <w:iCs/>
          <w:color w:val="000000"/>
          <w:lang w:val="en-GB"/>
        </w:rPr>
        <w:t>Social stratification in interwar Romania</w:t>
      </w:r>
      <w:r w:rsidRPr="009927E1">
        <w:rPr>
          <w:rFonts w:ascii="Times New Roman" w:hAnsi="Times New Roman" w:cs="Times New Roman"/>
          <w:color w:val="000000"/>
          <w:lang w:val="en-GB"/>
        </w:rPr>
        <w:t xml:space="preserve">. From 2002, he works at University POLITEHNICA Bucharest, currently being assistant professor at the Department of Social Sciences. The main </w:t>
      </w:r>
      <w:r w:rsidR="00A812F0" w:rsidRPr="009927E1">
        <w:rPr>
          <w:rFonts w:ascii="Times New Roman" w:hAnsi="Times New Roman" w:cs="Times New Roman"/>
          <w:color w:val="000000"/>
          <w:lang w:val="en-GB"/>
        </w:rPr>
        <w:t xml:space="preserve">research </w:t>
      </w:r>
      <w:r w:rsidRPr="009927E1">
        <w:rPr>
          <w:rFonts w:ascii="Times New Roman" w:hAnsi="Times New Roman" w:cs="Times New Roman"/>
          <w:color w:val="000000"/>
          <w:lang w:val="en-GB"/>
        </w:rPr>
        <w:t>topics are related to agrarian structure</w:t>
      </w:r>
      <w:r w:rsidR="00A812F0" w:rsidRPr="009927E1">
        <w:rPr>
          <w:rFonts w:ascii="Times New Roman" w:hAnsi="Times New Roman" w:cs="Times New Roman"/>
          <w:color w:val="000000"/>
          <w:lang w:val="en-GB"/>
        </w:rPr>
        <w:t>,</w:t>
      </w:r>
      <w:r w:rsidRPr="009927E1">
        <w:rPr>
          <w:rFonts w:ascii="Times New Roman" w:hAnsi="Times New Roman" w:cs="Times New Roman"/>
          <w:color w:val="000000"/>
          <w:lang w:val="en-GB"/>
        </w:rPr>
        <w:t xml:space="preserve"> social inequalities, sustainable development and public policies.</w:t>
      </w:r>
    </w:p>
    <w:p w14:paraId="5D56D5A5" w14:textId="77777777" w:rsidR="00010EA0" w:rsidRPr="009927E1" w:rsidRDefault="00010EA0" w:rsidP="00D4507A">
      <w:pPr>
        <w:suppressAutoHyphens/>
        <w:autoSpaceDE w:val="0"/>
        <w:autoSpaceDN w:val="0"/>
        <w:adjustRightInd w:val="0"/>
        <w:spacing w:after="0" w:line="240" w:lineRule="auto"/>
        <w:jc w:val="both"/>
        <w:textAlignment w:val="center"/>
        <w:rPr>
          <w:rFonts w:ascii="Times New Roman" w:hAnsi="Times New Roman" w:cs="Times New Roman"/>
          <w:lang w:val="en-GB"/>
        </w:rPr>
      </w:pPr>
      <w:r w:rsidRPr="009927E1">
        <w:rPr>
          <w:rFonts w:ascii="Times New Roman" w:hAnsi="Times New Roman" w:cs="Times New Roman"/>
          <w:lang w:val="en-GB"/>
        </w:rPr>
        <w:t>Address: 104 A, Moșoaia St., Vila 1, 042145, Sector 4, Bucharest</w:t>
      </w:r>
    </w:p>
    <w:p w14:paraId="674F069C" w14:textId="77777777" w:rsidR="00010EA0" w:rsidRPr="009927E1" w:rsidRDefault="00010EA0" w:rsidP="00D4507A">
      <w:pPr>
        <w:suppressAutoHyphens/>
        <w:autoSpaceDE w:val="0"/>
        <w:autoSpaceDN w:val="0"/>
        <w:adjustRightInd w:val="0"/>
        <w:spacing w:after="0" w:line="240" w:lineRule="auto"/>
        <w:jc w:val="both"/>
        <w:textAlignment w:val="center"/>
        <w:rPr>
          <w:rFonts w:ascii="Times New Roman" w:hAnsi="Times New Roman" w:cs="Times New Roman"/>
          <w:color w:val="000000"/>
          <w:lang w:val="en-GB"/>
        </w:rPr>
      </w:pPr>
      <w:r w:rsidRPr="009927E1">
        <w:rPr>
          <w:rFonts w:ascii="Times New Roman" w:hAnsi="Times New Roman" w:cs="Times New Roman"/>
          <w:lang w:val="en-GB"/>
        </w:rPr>
        <w:t>Mobile phone: 0040.722.457.299</w:t>
      </w:r>
    </w:p>
    <w:p w14:paraId="7E8B6D45" w14:textId="45EBFE35" w:rsidR="008B5CE0" w:rsidRPr="009927E1" w:rsidRDefault="00010EA0" w:rsidP="00D4507A">
      <w:pPr>
        <w:spacing w:after="0" w:line="240" w:lineRule="auto"/>
        <w:jc w:val="both"/>
        <w:rPr>
          <w:rStyle w:val="Hyperlink"/>
          <w:rFonts w:ascii="Times New Roman" w:hAnsi="Times New Roman" w:cs="Times New Roman"/>
          <w:i/>
          <w:iCs/>
          <w:lang w:val="en-GB"/>
        </w:rPr>
      </w:pPr>
      <w:r w:rsidRPr="009927E1">
        <w:rPr>
          <w:rFonts w:ascii="Times New Roman" w:hAnsi="Times New Roman" w:cs="Times New Roman"/>
          <w:lang w:val="en-GB"/>
        </w:rPr>
        <w:t>Mail:</w:t>
      </w:r>
      <w:r w:rsidRPr="009927E1">
        <w:rPr>
          <w:rFonts w:ascii="Times New Roman" w:hAnsi="Times New Roman" w:cs="Times New Roman"/>
          <w:i/>
          <w:iCs/>
          <w:lang w:val="en-GB"/>
        </w:rPr>
        <w:t xml:space="preserve"> </w:t>
      </w:r>
      <w:hyperlink r:id="rId7" w:history="1">
        <w:r w:rsidRPr="009927E1">
          <w:rPr>
            <w:rStyle w:val="Hyperlink"/>
            <w:rFonts w:ascii="Times New Roman" w:hAnsi="Times New Roman" w:cs="Times New Roman"/>
            <w:i/>
            <w:iCs/>
            <w:lang w:val="en-GB"/>
          </w:rPr>
          <w:t>sergiu.tara@upb.ro</w:t>
        </w:r>
      </w:hyperlink>
    </w:p>
    <w:p w14:paraId="303DD5BB" w14:textId="68B4AED3" w:rsidR="009C021C" w:rsidRPr="009927E1" w:rsidRDefault="00E07EEE" w:rsidP="009C021C">
      <w:pPr>
        <w:keepNext/>
        <w:suppressAutoHyphens/>
        <w:autoSpaceDE w:val="0"/>
        <w:autoSpaceDN w:val="0"/>
        <w:adjustRightInd w:val="0"/>
        <w:spacing w:before="240" w:after="0" w:line="360" w:lineRule="auto"/>
        <w:ind w:left="578" w:hanging="578"/>
        <w:textAlignment w:val="center"/>
        <w:outlineLvl w:val="1"/>
        <w:rPr>
          <w:rFonts w:ascii="Times New Roman" w:hAnsi="Times New Roman" w:cs="Times New Roman"/>
          <w:color w:val="000000"/>
          <w:sz w:val="24"/>
          <w:szCs w:val="24"/>
          <w:lang w:val="en-GB"/>
        </w:rPr>
      </w:pPr>
      <w:r w:rsidRPr="009927E1">
        <w:rPr>
          <w:rFonts w:ascii="Times New Roman" w:hAnsi="Times New Roman" w:cs="Times New Roman"/>
          <w:i/>
          <w:iCs/>
          <w:color w:val="000000"/>
          <w:sz w:val="24"/>
          <w:szCs w:val="24"/>
          <w:lang w:val="en-GB"/>
        </w:rPr>
        <w:t>De</w:t>
      </w:r>
      <w:r w:rsidR="00B05908" w:rsidRPr="009927E1">
        <w:rPr>
          <w:rFonts w:ascii="Times New Roman" w:hAnsi="Times New Roman" w:cs="Times New Roman"/>
          <w:i/>
          <w:iCs/>
          <w:color w:val="000000"/>
          <w:sz w:val="24"/>
          <w:szCs w:val="24"/>
          <w:lang w:val="en-GB"/>
        </w:rPr>
        <w:t>centralization and territorial reform</w:t>
      </w:r>
    </w:p>
    <w:p w14:paraId="23D54A2A" w14:textId="47E36DD4" w:rsidR="00924711" w:rsidRPr="009927E1" w:rsidRDefault="00924711" w:rsidP="009C021C">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Decentralization and territorial reform are two </w:t>
      </w:r>
      <w:r w:rsidR="0098434B" w:rsidRPr="009927E1">
        <w:rPr>
          <w:rFonts w:ascii="Times New Roman" w:hAnsi="Times New Roman" w:cs="Times New Roman"/>
          <w:color w:val="000000"/>
          <w:sz w:val="24"/>
          <w:szCs w:val="24"/>
          <w:lang w:val="en-GB"/>
        </w:rPr>
        <w:t xml:space="preserve">related </w:t>
      </w:r>
      <w:r w:rsidRPr="009927E1">
        <w:rPr>
          <w:rFonts w:ascii="Times New Roman" w:hAnsi="Times New Roman" w:cs="Times New Roman"/>
          <w:color w:val="000000"/>
          <w:sz w:val="24"/>
          <w:szCs w:val="24"/>
          <w:lang w:val="en-GB"/>
        </w:rPr>
        <w:t xml:space="preserve">concepts intensely used in the </w:t>
      </w:r>
      <w:r w:rsidR="00010EA0" w:rsidRPr="009927E1">
        <w:rPr>
          <w:rFonts w:ascii="Times New Roman" w:hAnsi="Times New Roman" w:cs="Times New Roman"/>
          <w:color w:val="000000"/>
          <w:sz w:val="24"/>
          <w:szCs w:val="24"/>
          <w:lang w:val="en-GB"/>
        </w:rPr>
        <w:t>debates regarding local democracy</w:t>
      </w:r>
      <w:r w:rsidRPr="009927E1">
        <w:rPr>
          <w:rFonts w:ascii="Times New Roman" w:hAnsi="Times New Roman" w:cs="Times New Roman"/>
          <w:color w:val="000000"/>
          <w:sz w:val="24"/>
          <w:szCs w:val="24"/>
          <w:lang w:val="en-GB"/>
        </w:rPr>
        <w:t>.</w:t>
      </w:r>
      <w:r w:rsidRPr="009927E1">
        <w:rPr>
          <w:lang w:val="en-GB"/>
        </w:rPr>
        <w:t xml:space="preserve"> </w:t>
      </w:r>
      <w:r w:rsidRPr="009927E1">
        <w:rPr>
          <w:rFonts w:ascii="Times New Roman" w:hAnsi="Times New Roman" w:cs="Times New Roman"/>
          <w:color w:val="000000"/>
          <w:sz w:val="24"/>
          <w:szCs w:val="24"/>
          <w:lang w:val="en-GB"/>
        </w:rPr>
        <w:t>Decentralization has been seen as an instrument to bring people closer to political institutions and leaders, a way to protect individual liberties, stimulate innovation</w:t>
      </w:r>
      <w:r w:rsidR="008B5CE0" w:rsidRPr="009927E1">
        <w:rPr>
          <w:rFonts w:ascii="Times New Roman" w:hAnsi="Times New Roman" w:cs="Times New Roman"/>
          <w:color w:val="000000"/>
          <w:sz w:val="24"/>
          <w:szCs w:val="24"/>
          <w:lang w:val="en-GB"/>
        </w:rPr>
        <w:t>,</w:t>
      </w:r>
      <w:r w:rsidR="00010EA0" w:rsidRPr="009927E1">
        <w:rPr>
          <w:rFonts w:ascii="Times New Roman" w:hAnsi="Times New Roman" w:cs="Times New Roman"/>
          <w:color w:val="000000"/>
          <w:sz w:val="24"/>
          <w:szCs w:val="24"/>
          <w:lang w:val="en-GB"/>
        </w:rPr>
        <w:t xml:space="preserve"> economic development</w:t>
      </w:r>
      <w:r w:rsidR="00704F66" w:rsidRPr="009927E1">
        <w:rPr>
          <w:rFonts w:ascii="Times New Roman" w:hAnsi="Times New Roman" w:cs="Times New Roman"/>
          <w:color w:val="000000"/>
          <w:sz w:val="24"/>
          <w:szCs w:val="24"/>
          <w:lang w:val="en-GB"/>
        </w:rPr>
        <w:t xml:space="preserve"> and efficiency</w:t>
      </w:r>
      <w:r w:rsidRPr="009927E1">
        <w:rPr>
          <w:rFonts w:ascii="Times New Roman" w:hAnsi="Times New Roman" w:cs="Times New Roman"/>
          <w:color w:val="000000"/>
          <w:sz w:val="24"/>
          <w:szCs w:val="24"/>
          <w:lang w:val="en-GB"/>
        </w:rPr>
        <w:t xml:space="preserve"> </w:t>
      </w:r>
      <w:r w:rsidR="00704F66" w:rsidRPr="009927E1">
        <w:rPr>
          <w:rFonts w:ascii="Times New Roman" w:hAnsi="Times New Roman" w:cs="Times New Roman"/>
          <w:color w:val="000000"/>
          <w:sz w:val="24"/>
          <w:szCs w:val="24"/>
          <w:lang w:val="en-GB"/>
        </w:rPr>
        <w:t>or to</w:t>
      </w:r>
      <w:r w:rsidRPr="009927E1">
        <w:rPr>
          <w:rFonts w:ascii="Times New Roman" w:hAnsi="Times New Roman" w:cs="Times New Roman"/>
          <w:color w:val="000000"/>
          <w:sz w:val="24"/>
          <w:szCs w:val="24"/>
          <w:lang w:val="en-GB"/>
        </w:rPr>
        <w:t xml:space="preserve"> avoid </w:t>
      </w:r>
      <w:r w:rsidR="00704F66" w:rsidRPr="009927E1">
        <w:rPr>
          <w:rFonts w:ascii="Times New Roman" w:hAnsi="Times New Roman" w:cs="Times New Roman"/>
          <w:color w:val="000000"/>
          <w:sz w:val="24"/>
          <w:szCs w:val="24"/>
          <w:lang w:val="en-GB"/>
        </w:rPr>
        <w:t xml:space="preserve">societal </w:t>
      </w:r>
      <w:r w:rsidRPr="009927E1">
        <w:rPr>
          <w:rFonts w:ascii="Times New Roman" w:hAnsi="Times New Roman" w:cs="Times New Roman"/>
          <w:color w:val="000000"/>
          <w:sz w:val="24"/>
          <w:szCs w:val="24"/>
          <w:lang w:val="en-GB"/>
        </w:rPr>
        <w:t>tensions (between central and local interests, between majorities and minorities</w:t>
      </w:r>
      <w:r w:rsidR="00C26259" w:rsidRPr="009927E1">
        <w:rPr>
          <w:rFonts w:ascii="Times New Roman" w:hAnsi="Times New Roman" w:cs="Times New Roman"/>
          <w:color w:val="000000"/>
          <w:sz w:val="24"/>
          <w:szCs w:val="24"/>
          <w:lang w:val="en-GB"/>
        </w:rPr>
        <w:t xml:space="preserve">, especially </w:t>
      </w:r>
      <w:r w:rsidRPr="009927E1">
        <w:rPr>
          <w:rFonts w:ascii="Times New Roman" w:hAnsi="Times New Roman" w:cs="Times New Roman"/>
          <w:color w:val="000000"/>
          <w:sz w:val="24"/>
          <w:szCs w:val="24"/>
          <w:lang w:val="en-GB"/>
        </w:rPr>
        <w:t>ethnic groups, etc.).</w:t>
      </w:r>
    </w:p>
    <w:p w14:paraId="5A0427DE" w14:textId="1181D494" w:rsidR="00924711" w:rsidRPr="009927E1" w:rsidRDefault="00704F66" w:rsidP="00704F66">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The process of decentralization is closely related to that of local governments, and involves discussions about population, responsibilities, range, quality and costs of public services</w:t>
      </w:r>
      <w:r w:rsidR="00134828">
        <w:rPr>
          <w:rFonts w:ascii="Times New Roman" w:hAnsi="Times New Roman" w:cs="Times New Roman"/>
          <w:color w:val="000000"/>
          <w:sz w:val="24"/>
          <w:szCs w:val="24"/>
          <w:lang w:val="en-GB"/>
        </w:rPr>
        <w:t xml:space="preserve"> provided</w:t>
      </w:r>
      <w:r w:rsidRPr="009927E1">
        <w:rPr>
          <w:rFonts w:ascii="Times New Roman" w:hAnsi="Times New Roman" w:cs="Times New Roman"/>
          <w:color w:val="000000"/>
          <w:sz w:val="24"/>
          <w:szCs w:val="24"/>
          <w:lang w:val="en-GB"/>
        </w:rPr>
        <w:t xml:space="preserve">, budgetary issues, territorial size, economic and social issues, historical evolution, etc. This means that the size of territorial structures of local governments </w:t>
      </w:r>
      <w:r w:rsidR="00C66BD8" w:rsidRPr="009927E1">
        <w:rPr>
          <w:rFonts w:ascii="Times New Roman" w:hAnsi="Times New Roman" w:cs="Times New Roman"/>
          <w:color w:val="000000"/>
          <w:sz w:val="24"/>
          <w:szCs w:val="24"/>
          <w:lang w:val="en-GB"/>
        </w:rPr>
        <w:t xml:space="preserve">should be </w:t>
      </w:r>
      <w:r w:rsidRPr="009927E1">
        <w:rPr>
          <w:rFonts w:ascii="Times New Roman" w:hAnsi="Times New Roman" w:cs="Times New Roman"/>
          <w:color w:val="000000"/>
          <w:sz w:val="24"/>
          <w:szCs w:val="24"/>
          <w:lang w:val="en-GB"/>
        </w:rPr>
        <w:t>discussed at some moments to determine the most suitable size for them</w:t>
      </w:r>
      <w:r w:rsidR="00924711" w:rsidRPr="009927E1">
        <w:rPr>
          <w:rFonts w:ascii="Times New Roman" w:hAnsi="Times New Roman" w:cs="Times New Roman"/>
          <w:color w:val="000000"/>
          <w:sz w:val="24"/>
          <w:szCs w:val="24"/>
          <w:lang w:val="en-GB"/>
        </w:rPr>
        <w:t>.</w:t>
      </w:r>
    </w:p>
    <w:p w14:paraId="64068B33" w14:textId="7E9D728B" w:rsidR="00564AFE" w:rsidRPr="009927E1" w:rsidRDefault="00A139EE" w:rsidP="00704F66">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In the </w:t>
      </w:r>
      <w:r w:rsidR="00470BF0" w:rsidRPr="009927E1">
        <w:rPr>
          <w:rFonts w:ascii="Times New Roman" w:hAnsi="Times New Roman" w:cs="Times New Roman"/>
          <w:color w:val="000000"/>
          <w:sz w:val="24"/>
          <w:szCs w:val="24"/>
          <w:lang w:val="en-GB"/>
        </w:rPr>
        <w:t>next section</w:t>
      </w:r>
      <w:r w:rsidR="002E0583" w:rsidRPr="009927E1">
        <w:rPr>
          <w:rFonts w:ascii="Times New Roman" w:hAnsi="Times New Roman" w:cs="Times New Roman"/>
          <w:color w:val="000000"/>
          <w:sz w:val="24"/>
          <w:szCs w:val="24"/>
          <w:lang w:val="en-GB"/>
        </w:rPr>
        <w:t>s</w:t>
      </w:r>
      <w:r w:rsidRPr="009927E1">
        <w:rPr>
          <w:rFonts w:ascii="Times New Roman" w:hAnsi="Times New Roman" w:cs="Times New Roman"/>
          <w:color w:val="000000"/>
          <w:sz w:val="24"/>
          <w:szCs w:val="24"/>
          <w:lang w:val="en-GB"/>
        </w:rPr>
        <w:t xml:space="preserve"> we </w:t>
      </w:r>
      <w:r w:rsidR="00470BF0" w:rsidRPr="009927E1">
        <w:rPr>
          <w:rFonts w:ascii="Times New Roman" w:hAnsi="Times New Roman" w:cs="Times New Roman"/>
          <w:color w:val="000000"/>
          <w:sz w:val="24"/>
          <w:szCs w:val="24"/>
          <w:lang w:val="en-GB"/>
        </w:rPr>
        <w:t xml:space="preserve">will </w:t>
      </w:r>
      <w:r w:rsidRPr="009927E1">
        <w:rPr>
          <w:rFonts w:ascii="Times New Roman" w:hAnsi="Times New Roman" w:cs="Times New Roman"/>
          <w:color w:val="000000"/>
          <w:sz w:val="24"/>
          <w:szCs w:val="24"/>
          <w:lang w:val="en-GB"/>
        </w:rPr>
        <w:t xml:space="preserve">analyse </w:t>
      </w:r>
      <w:r w:rsidR="002E0583" w:rsidRPr="009927E1">
        <w:rPr>
          <w:rFonts w:ascii="Times New Roman" w:hAnsi="Times New Roman" w:cs="Times New Roman"/>
          <w:color w:val="000000"/>
          <w:sz w:val="24"/>
          <w:szCs w:val="24"/>
          <w:lang w:val="en-GB"/>
        </w:rPr>
        <w:t>‘economies of scale’</w:t>
      </w:r>
      <w:r w:rsidR="00A14741" w:rsidRPr="009927E1">
        <w:rPr>
          <w:rFonts w:ascii="Times New Roman" w:hAnsi="Times New Roman" w:cs="Times New Roman"/>
          <w:color w:val="000000"/>
          <w:sz w:val="24"/>
          <w:szCs w:val="24"/>
          <w:lang w:val="en-GB"/>
        </w:rPr>
        <w:t xml:space="preserve"> arguments</w:t>
      </w:r>
      <w:r w:rsidR="002E0583" w:rsidRPr="009927E1">
        <w:rPr>
          <w:rFonts w:ascii="Times New Roman" w:hAnsi="Times New Roman" w:cs="Times New Roman"/>
          <w:color w:val="000000"/>
          <w:sz w:val="24"/>
          <w:szCs w:val="24"/>
          <w:lang w:val="en-GB"/>
        </w:rPr>
        <w:t xml:space="preserve"> and </w:t>
      </w:r>
      <w:r w:rsidR="00B23C7C" w:rsidRPr="009927E1">
        <w:rPr>
          <w:rFonts w:ascii="Times New Roman" w:hAnsi="Times New Roman" w:cs="Times New Roman"/>
          <w:color w:val="000000"/>
          <w:sz w:val="24"/>
          <w:szCs w:val="24"/>
          <w:lang w:val="en-GB"/>
        </w:rPr>
        <w:t xml:space="preserve">then </w:t>
      </w:r>
      <w:r w:rsidR="00A14741" w:rsidRPr="009927E1">
        <w:rPr>
          <w:rFonts w:ascii="Times New Roman" w:hAnsi="Times New Roman" w:cs="Times New Roman"/>
          <w:color w:val="000000"/>
          <w:sz w:val="24"/>
          <w:szCs w:val="24"/>
          <w:lang w:val="en-GB"/>
        </w:rPr>
        <w:t>will discuss</w:t>
      </w:r>
      <w:r w:rsidR="002E0583" w:rsidRPr="009927E1">
        <w:rPr>
          <w:rFonts w:ascii="Times New Roman" w:hAnsi="Times New Roman" w:cs="Times New Roman"/>
          <w:color w:val="000000"/>
          <w:sz w:val="24"/>
          <w:szCs w:val="24"/>
          <w:lang w:val="en-GB"/>
        </w:rPr>
        <w:t xml:space="preserve"> the main </w:t>
      </w:r>
      <w:r w:rsidR="00FE1862" w:rsidRPr="009927E1">
        <w:rPr>
          <w:rFonts w:ascii="Times New Roman" w:hAnsi="Times New Roman" w:cs="Times New Roman"/>
          <w:color w:val="000000"/>
          <w:sz w:val="24"/>
          <w:szCs w:val="24"/>
          <w:lang w:val="en-GB"/>
        </w:rPr>
        <w:t>ways</w:t>
      </w:r>
      <w:r w:rsidR="002E0583" w:rsidRPr="009927E1">
        <w:rPr>
          <w:rFonts w:ascii="Times New Roman" w:hAnsi="Times New Roman" w:cs="Times New Roman"/>
          <w:color w:val="000000"/>
          <w:sz w:val="24"/>
          <w:szCs w:val="24"/>
          <w:lang w:val="en-GB"/>
        </w:rPr>
        <w:t xml:space="preserve"> of restructuring the local authorities and territories: m</w:t>
      </w:r>
      <w:r w:rsidR="00564AFE" w:rsidRPr="009927E1">
        <w:rPr>
          <w:rFonts w:ascii="Times New Roman" w:hAnsi="Times New Roman" w:cs="Times New Roman"/>
          <w:color w:val="000000"/>
          <w:sz w:val="24"/>
          <w:szCs w:val="24"/>
          <w:lang w:val="en-GB"/>
        </w:rPr>
        <w:t>ergers (</w:t>
      </w:r>
      <w:r w:rsidR="00564AFE" w:rsidRPr="009927E1">
        <w:rPr>
          <w:rFonts w:ascii="Times New Roman" w:hAnsi="Times New Roman" w:cs="Times New Roman"/>
          <w:i/>
          <w:iCs/>
          <w:color w:val="000000"/>
          <w:sz w:val="24"/>
          <w:szCs w:val="24"/>
          <w:lang w:val="en-GB"/>
        </w:rPr>
        <w:t>up-scaling</w:t>
      </w:r>
      <w:r w:rsidR="00564AFE" w:rsidRPr="009927E1">
        <w:rPr>
          <w:rFonts w:ascii="Times New Roman" w:hAnsi="Times New Roman" w:cs="Times New Roman"/>
          <w:color w:val="000000"/>
          <w:sz w:val="24"/>
          <w:szCs w:val="24"/>
          <w:lang w:val="en-GB"/>
        </w:rPr>
        <w:t>) or de-mergers (</w:t>
      </w:r>
      <w:r w:rsidR="00564AFE" w:rsidRPr="009927E1">
        <w:rPr>
          <w:rFonts w:ascii="Times New Roman" w:hAnsi="Times New Roman" w:cs="Times New Roman"/>
          <w:i/>
          <w:iCs/>
          <w:color w:val="000000"/>
          <w:sz w:val="24"/>
          <w:szCs w:val="24"/>
          <w:lang w:val="en-GB"/>
        </w:rPr>
        <w:t>down-scaling</w:t>
      </w:r>
      <w:r w:rsidR="00564AFE" w:rsidRPr="009927E1">
        <w:rPr>
          <w:rFonts w:ascii="Times New Roman" w:hAnsi="Times New Roman" w:cs="Times New Roman"/>
          <w:color w:val="000000"/>
          <w:sz w:val="24"/>
          <w:szCs w:val="24"/>
          <w:lang w:val="en-GB"/>
        </w:rPr>
        <w:t xml:space="preserve">) that implies changes of the administrative boundaries, but also co-operation between municipalities, </w:t>
      </w:r>
      <w:r w:rsidR="00197ED4">
        <w:rPr>
          <w:rFonts w:ascii="Times New Roman" w:hAnsi="Times New Roman" w:cs="Times New Roman"/>
          <w:color w:val="000000"/>
          <w:sz w:val="24"/>
          <w:szCs w:val="24"/>
          <w:lang w:val="en-GB"/>
        </w:rPr>
        <w:t xml:space="preserve">i.e. </w:t>
      </w:r>
      <w:r w:rsidR="00564AFE" w:rsidRPr="009927E1">
        <w:rPr>
          <w:rFonts w:ascii="Times New Roman" w:hAnsi="Times New Roman" w:cs="Times New Roman"/>
          <w:color w:val="000000"/>
          <w:sz w:val="24"/>
          <w:szCs w:val="24"/>
          <w:lang w:val="en-GB"/>
        </w:rPr>
        <w:t>pooling public services into larger inter-municipal entities (</w:t>
      </w:r>
      <w:r w:rsidR="00B23C7C" w:rsidRPr="009927E1">
        <w:rPr>
          <w:rFonts w:ascii="Times New Roman" w:hAnsi="Times New Roman" w:cs="Times New Roman"/>
          <w:color w:val="000000"/>
          <w:sz w:val="24"/>
          <w:szCs w:val="24"/>
          <w:lang w:val="en-GB"/>
        </w:rPr>
        <w:t>the so-</w:t>
      </w:r>
      <w:r w:rsidR="00564AFE" w:rsidRPr="009927E1">
        <w:rPr>
          <w:rFonts w:ascii="Times New Roman" w:hAnsi="Times New Roman" w:cs="Times New Roman"/>
          <w:color w:val="000000"/>
          <w:sz w:val="24"/>
          <w:szCs w:val="24"/>
          <w:lang w:val="en-GB"/>
        </w:rPr>
        <w:t xml:space="preserve">called </w:t>
      </w:r>
      <w:r w:rsidR="00564AFE" w:rsidRPr="009927E1">
        <w:rPr>
          <w:rFonts w:ascii="Times New Roman" w:hAnsi="Times New Roman" w:cs="Times New Roman"/>
          <w:i/>
          <w:iCs/>
          <w:color w:val="000000"/>
          <w:sz w:val="24"/>
          <w:szCs w:val="24"/>
          <w:lang w:val="en-GB"/>
        </w:rPr>
        <w:t>trans-scaling</w:t>
      </w:r>
      <w:r w:rsidR="00564AFE" w:rsidRPr="009927E1">
        <w:rPr>
          <w:rFonts w:ascii="Times New Roman" w:hAnsi="Times New Roman" w:cs="Times New Roman"/>
          <w:color w:val="000000"/>
          <w:sz w:val="24"/>
          <w:szCs w:val="24"/>
          <w:lang w:val="en-GB"/>
        </w:rPr>
        <w:t xml:space="preserve">). </w:t>
      </w:r>
      <w:r w:rsidR="002E0583" w:rsidRPr="009927E1">
        <w:rPr>
          <w:rFonts w:ascii="Times New Roman" w:hAnsi="Times New Roman" w:cs="Times New Roman"/>
          <w:color w:val="000000"/>
          <w:sz w:val="24"/>
          <w:szCs w:val="24"/>
          <w:lang w:val="en-GB"/>
        </w:rPr>
        <w:t xml:space="preserve">A section will be dedicated to the </w:t>
      </w:r>
      <w:r w:rsidR="009F6332" w:rsidRPr="009927E1">
        <w:rPr>
          <w:rFonts w:ascii="Times New Roman" w:hAnsi="Times New Roman" w:cs="Times New Roman"/>
          <w:color w:val="000000"/>
          <w:sz w:val="24"/>
          <w:szCs w:val="24"/>
          <w:lang w:val="en-GB"/>
        </w:rPr>
        <w:t xml:space="preserve">European experiences </w:t>
      </w:r>
      <w:r w:rsidR="002E0583" w:rsidRPr="009927E1">
        <w:rPr>
          <w:rFonts w:ascii="Times New Roman" w:hAnsi="Times New Roman" w:cs="Times New Roman"/>
          <w:color w:val="000000"/>
          <w:sz w:val="24"/>
          <w:szCs w:val="24"/>
          <w:lang w:val="en-GB"/>
        </w:rPr>
        <w:t>of territorial reforms (from</w:t>
      </w:r>
      <w:r w:rsidR="00197ED4">
        <w:rPr>
          <w:rFonts w:ascii="Times New Roman" w:hAnsi="Times New Roman" w:cs="Times New Roman"/>
          <w:color w:val="000000"/>
          <w:sz w:val="24"/>
          <w:szCs w:val="24"/>
          <w:lang w:val="en-GB"/>
        </w:rPr>
        <w:t xml:space="preserve"> both</w:t>
      </w:r>
      <w:r w:rsidR="002E0583" w:rsidRPr="009927E1">
        <w:rPr>
          <w:rFonts w:ascii="Times New Roman" w:hAnsi="Times New Roman" w:cs="Times New Roman"/>
          <w:color w:val="000000"/>
          <w:sz w:val="24"/>
          <w:szCs w:val="24"/>
          <w:lang w:val="en-GB"/>
        </w:rPr>
        <w:t xml:space="preserve"> the ‘old’ and ‘new’ Europe). </w:t>
      </w:r>
      <w:r w:rsidR="00470BF0" w:rsidRPr="009927E1">
        <w:rPr>
          <w:rFonts w:ascii="Times New Roman" w:hAnsi="Times New Roman" w:cs="Times New Roman"/>
          <w:color w:val="000000"/>
          <w:sz w:val="24"/>
          <w:szCs w:val="24"/>
          <w:lang w:val="en-GB"/>
        </w:rPr>
        <w:t>A separate discussion will be focused on the Romanian situation and the ways of improving local authorities’ activities.</w:t>
      </w:r>
    </w:p>
    <w:p w14:paraId="3B589176" w14:textId="3C85F5AB" w:rsidR="00676363" w:rsidRPr="009927E1" w:rsidRDefault="00676363" w:rsidP="009C021C">
      <w:pPr>
        <w:keepNext/>
        <w:suppressAutoHyphens/>
        <w:autoSpaceDE w:val="0"/>
        <w:autoSpaceDN w:val="0"/>
        <w:adjustRightInd w:val="0"/>
        <w:spacing w:before="240" w:after="0" w:line="360" w:lineRule="auto"/>
        <w:ind w:left="578" w:hanging="578"/>
        <w:textAlignment w:val="center"/>
        <w:outlineLvl w:val="1"/>
        <w:rPr>
          <w:rFonts w:ascii="Times New Roman" w:hAnsi="Times New Roman" w:cs="Times New Roman"/>
          <w:color w:val="000000"/>
          <w:sz w:val="24"/>
          <w:szCs w:val="24"/>
          <w:lang w:val="en-GB"/>
        </w:rPr>
      </w:pPr>
      <w:bookmarkStart w:id="0" w:name="_Hlk161653980"/>
      <w:bookmarkStart w:id="1" w:name="_Hlk160341040"/>
      <w:r w:rsidRPr="009927E1">
        <w:rPr>
          <w:rFonts w:ascii="Times New Roman" w:hAnsi="Times New Roman" w:cs="Times New Roman"/>
          <w:i/>
          <w:iCs/>
          <w:color w:val="000000"/>
          <w:sz w:val="24"/>
          <w:szCs w:val="24"/>
          <w:lang w:val="en-GB"/>
        </w:rPr>
        <w:t>Does an ideal size for municipalities exist? Theor</w:t>
      </w:r>
      <w:r w:rsidR="006727F4">
        <w:rPr>
          <w:rFonts w:ascii="Times New Roman" w:hAnsi="Times New Roman" w:cs="Times New Roman"/>
          <w:i/>
          <w:iCs/>
          <w:color w:val="000000"/>
          <w:sz w:val="24"/>
          <w:szCs w:val="24"/>
          <w:lang w:val="en-GB"/>
        </w:rPr>
        <w:t>ies</w:t>
      </w:r>
      <w:r w:rsidR="002879BD" w:rsidRPr="009927E1">
        <w:rPr>
          <w:rFonts w:ascii="Times New Roman" w:hAnsi="Times New Roman" w:cs="Times New Roman"/>
          <w:i/>
          <w:iCs/>
          <w:color w:val="000000"/>
          <w:sz w:val="24"/>
          <w:szCs w:val="24"/>
          <w:lang w:val="en-GB"/>
        </w:rPr>
        <w:t xml:space="preserve"> and realit</w:t>
      </w:r>
      <w:r w:rsidR="006727F4">
        <w:rPr>
          <w:rFonts w:ascii="Times New Roman" w:hAnsi="Times New Roman" w:cs="Times New Roman"/>
          <w:i/>
          <w:iCs/>
          <w:color w:val="000000"/>
          <w:sz w:val="24"/>
          <w:szCs w:val="24"/>
          <w:lang w:val="en-GB"/>
        </w:rPr>
        <w:t>ies</w:t>
      </w:r>
    </w:p>
    <w:bookmarkEnd w:id="0"/>
    <w:p w14:paraId="672C9D58" w14:textId="0D8EAC6B" w:rsidR="004C10D2" w:rsidRPr="009927E1" w:rsidRDefault="006F66F0" w:rsidP="00EC0354">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The debate related to an ideal size for a territorial entity comes from the ancient times till nowadays: Plato and Aristotle</w:t>
      </w:r>
      <w:r w:rsidR="003B5922" w:rsidRPr="009927E1">
        <w:rPr>
          <w:rFonts w:ascii="Times New Roman" w:hAnsi="Times New Roman" w:cs="Times New Roman"/>
          <w:color w:val="000000"/>
          <w:sz w:val="24"/>
          <w:szCs w:val="24"/>
          <w:lang w:val="en-GB"/>
        </w:rPr>
        <w:t>, for instance,</w:t>
      </w:r>
      <w:r w:rsidRPr="009927E1">
        <w:rPr>
          <w:rFonts w:ascii="Times New Roman" w:hAnsi="Times New Roman" w:cs="Times New Roman"/>
          <w:color w:val="000000"/>
          <w:sz w:val="24"/>
          <w:szCs w:val="24"/>
          <w:lang w:val="en-GB"/>
        </w:rPr>
        <w:t xml:space="preserve"> debated the optimal population for a polis, that, in their opinion, requested a small territory and population to work properly; Plato, in </w:t>
      </w:r>
      <w:r w:rsidRPr="009927E1">
        <w:rPr>
          <w:rFonts w:ascii="Times New Roman" w:hAnsi="Times New Roman" w:cs="Times New Roman"/>
          <w:i/>
          <w:iCs/>
          <w:color w:val="000000"/>
          <w:sz w:val="24"/>
          <w:szCs w:val="24"/>
          <w:lang w:val="en-GB"/>
        </w:rPr>
        <w:t>Laws</w:t>
      </w:r>
      <w:r w:rsidRPr="009927E1">
        <w:rPr>
          <w:rFonts w:ascii="Times New Roman" w:hAnsi="Times New Roman" w:cs="Times New Roman"/>
          <w:color w:val="000000"/>
          <w:sz w:val="24"/>
          <w:szCs w:val="24"/>
          <w:lang w:val="en-GB"/>
        </w:rPr>
        <w:t>, went so far as to calculate the ideal number of citizens (heads of family) at 5,040.</w:t>
      </w:r>
      <w:r w:rsidR="009174BD" w:rsidRPr="009927E1">
        <w:rPr>
          <w:rFonts w:ascii="Times New Roman" w:hAnsi="Times New Roman" w:cs="Times New Roman"/>
          <w:color w:val="000000"/>
          <w:sz w:val="24"/>
          <w:szCs w:val="24"/>
          <w:lang w:val="en-GB"/>
        </w:rPr>
        <w:t xml:space="preserve"> As in the case of the concept of </w:t>
      </w:r>
      <w:r w:rsidR="00250C6E">
        <w:rPr>
          <w:rFonts w:ascii="Times New Roman" w:hAnsi="Times New Roman" w:cs="Times New Roman"/>
          <w:color w:val="000000"/>
          <w:sz w:val="24"/>
          <w:szCs w:val="24"/>
          <w:lang w:val="en-US"/>
        </w:rPr>
        <w:t>‘</w:t>
      </w:r>
      <w:r w:rsidR="009174BD" w:rsidRPr="009927E1">
        <w:rPr>
          <w:rFonts w:ascii="Times New Roman" w:hAnsi="Times New Roman" w:cs="Times New Roman"/>
          <w:color w:val="000000"/>
          <w:sz w:val="24"/>
          <w:szCs w:val="24"/>
          <w:lang w:val="en-GB"/>
        </w:rPr>
        <w:t>people</w:t>
      </w:r>
      <w:r w:rsidR="00250C6E">
        <w:rPr>
          <w:rFonts w:ascii="Times New Roman" w:hAnsi="Times New Roman" w:cs="Times New Roman"/>
          <w:color w:val="000000"/>
          <w:sz w:val="24"/>
          <w:szCs w:val="24"/>
          <w:lang w:val="en-GB"/>
        </w:rPr>
        <w:t>’</w:t>
      </w:r>
      <w:r w:rsidR="009174BD" w:rsidRPr="009927E1">
        <w:rPr>
          <w:rFonts w:ascii="Times New Roman" w:hAnsi="Times New Roman" w:cs="Times New Roman"/>
          <w:color w:val="000000"/>
          <w:sz w:val="24"/>
          <w:szCs w:val="24"/>
          <w:lang w:val="en-GB"/>
        </w:rPr>
        <w:t xml:space="preserve"> from the democratic theory, the debate related to the size of a municipality has problems</w:t>
      </w:r>
      <w:r w:rsidR="008F6724" w:rsidRPr="009927E1">
        <w:rPr>
          <w:rFonts w:ascii="Times New Roman" w:hAnsi="Times New Roman" w:cs="Times New Roman"/>
          <w:color w:val="000000"/>
          <w:sz w:val="24"/>
          <w:szCs w:val="24"/>
          <w:lang w:val="en-GB"/>
        </w:rPr>
        <w:t xml:space="preserve"> of identifying the categories that</w:t>
      </w:r>
      <w:r w:rsidR="009174BD" w:rsidRPr="009927E1">
        <w:rPr>
          <w:rFonts w:ascii="Times New Roman" w:hAnsi="Times New Roman" w:cs="Times New Roman"/>
          <w:color w:val="000000"/>
          <w:sz w:val="24"/>
          <w:szCs w:val="24"/>
          <w:lang w:val="en-GB"/>
        </w:rPr>
        <w:t xml:space="preserve"> </w:t>
      </w:r>
      <w:r w:rsidR="003B5922" w:rsidRPr="009927E1">
        <w:rPr>
          <w:rFonts w:ascii="Times New Roman" w:hAnsi="Times New Roman" w:cs="Times New Roman"/>
          <w:color w:val="000000"/>
          <w:sz w:val="24"/>
          <w:szCs w:val="24"/>
          <w:lang w:val="en-GB"/>
        </w:rPr>
        <w:t xml:space="preserve">should </w:t>
      </w:r>
      <w:r w:rsidR="009174BD" w:rsidRPr="009927E1">
        <w:rPr>
          <w:rFonts w:ascii="Times New Roman" w:hAnsi="Times New Roman" w:cs="Times New Roman"/>
          <w:color w:val="000000"/>
          <w:sz w:val="24"/>
          <w:szCs w:val="24"/>
          <w:lang w:val="en-GB"/>
        </w:rPr>
        <w:t xml:space="preserve">be </w:t>
      </w:r>
      <w:r w:rsidR="003B5922" w:rsidRPr="009927E1">
        <w:rPr>
          <w:rFonts w:ascii="Times New Roman" w:hAnsi="Times New Roman" w:cs="Times New Roman"/>
          <w:color w:val="000000"/>
          <w:sz w:val="24"/>
          <w:szCs w:val="24"/>
          <w:lang w:val="en-GB"/>
        </w:rPr>
        <w:t xml:space="preserve">taken into </w:t>
      </w:r>
      <w:r w:rsidR="009174BD" w:rsidRPr="009927E1">
        <w:rPr>
          <w:rFonts w:ascii="Times New Roman" w:hAnsi="Times New Roman" w:cs="Times New Roman"/>
          <w:color w:val="000000"/>
          <w:sz w:val="24"/>
          <w:szCs w:val="24"/>
          <w:lang w:val="en-GB"/>
        </w:rPr>
        <w:t>consider</w:t>
      </w:r>
      <w:r w:rsidR="003B5922" w:rsidRPr="009927E1">
        <w:rPr>
          <w:rFonts w:ascii="Times New Roman" w:hAnsi="Times New Roman" w:cs="Times New Roman"/>
          <w:color w:val="000000"/>
          <w:sz w:val="24"/>
          <w:szCs w:val="24"/>
          <w:lang w:val="en-GB"/>
        </w:rPr>
        <w:t>ation</w:t>
      </w:r>
      <w:r w:rsidR="009174BD" w:rsidRPr="009927E1">
        <w:rPr>
          <w:rFonts w:ascii="Times New Roman" w:hAnsi="Times New Roman" w:cs="Times New Roman"/>
          <w:color w:val="000000"/>
          <w:sz w:val="24"/>
          <w:szCs w:val="24"/>
          <w:lang w:val="en-GB"/>
        </w:rPr>
        <w:t xml:space="preserve">: inhabitants, citizens, voters, etc. The use of population seems to be problematic </w:t>
      </w:r>
      <w:r w:rsidR="009174BD" w:rsidRPr="009927E1">
        <w:rPr>
          <w:rFonts w:ascii="Times New Roman" w:hAnsi="Times New Roman" w:cs="Times New Roman"/>
          <w:i/>
          <w:iCs/>
          <w:color w:val="000000"/>
          <w:sz w:val="24"/>
          <w:szCs w:val="24"/>
          <w:lang w:val="en-GB"/>
        </w:rPr>
        <w:t>per se</w:t>
      </w:r>
      <w:r w:rsidR="009174BD" w:rsidRPr="009927E1">
        <w:rPr>
          <w:rFonts w:ascii="Times New Roman" w:hAnsi="Times New Roman" w:cs="Times New Roman"/>
          <w:color w:val="000000"/>
          <w:sz w:val="24"/>
          <w:szCs w:val="24"/>
          <w:lang w:val="en-GB"/>
        </w:rPr>
        <w:t>.</w:t>
      </w:r>
    </w:p>
    <w:p w14:paraId="6B6AF772" w14:textId="41E70ECC" w:rsidR="00DE1946" w:rsidRPr="009927E1" w:rsidRDefault="00DE1946" w:rsidP="00EC0354">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In a book dedicated to the relation between size and democracy, Dahl and Tufte </w:t>
      </w:r>
      <w:r w:rsidR="00D1573F" w:rsidRPr="009927E1">
        <w:rPr>
          <w:rFonts w:ascii="Times New Roman" w:hAnsi="Times New Roman" w:cs="Times New Roman"/>
          <w:color w:val="000000"/>
          <w:sz w:val="24"/>
          <w:szCs w:val="24"/>
          <w:lang w:val="en-GB"/>
        </w:rPr>
        <w:t>(1973:17) argue</w:t>
      </w:r>
      <w:r w:rsidR="00C41484" w:rsidRPr="009927E1">
        <w:rPr>
          <w:rFonts w:ascii="Times New Roman" w:hAnsi="Times New Roman" w:cs="Times New Roman"/>
          <w:color w:val="000000"/>
          <w:sz w:val="24"/>
          <w:szCs w:val="24"/>
          <w:lang w:val="en-GB"/>
        </w:rPr>
        <w:t>d</w:t>
      </w:r>
      <w:r w:rsidR="00D1573F" w:rsidRPr="009927E1">
        <w:rPr>
          <w:rFonts w:ascii="Times New Roman" w:hAnsi="Times New Roman" w:cs="Times New Roman"/>
          <w:color w:val="000000"/>
          <w:sz w:val="24"/>
          <w:szCs w:val="24"/>
          <w:lang w:val="en-GB"/>
        </w:rPr>
        <w:t xml:space="preserve"> that a territorial entity has several dimensions: population, area, density, </w:t>
      </w:r>
      <w:r w:rsidR="00426E40" w:rsidRPr="009927E1">
        <w:rPr>
          <w:rFonts w:ascii="Times New Roman" w:hAnsi="Times New Roman" w:cs="Times New Roman"/>
          <w:color w:val="000000"/>
          <w:sz w:val="24"/>
          <w:szCs w:val="24"/>
          <w:lang w:val="en-GB"/>
        </w:rPr>
        <w:t xml:space="preserve">distribution of population, </w:t>
      </w:r>
      <w:r w:rsidR="00920711" w:rsidRPr="009927E1">
        <w:rPr>
          <w:rFonts w:ascii="Times New Roman" w:hAnsi="Times New Roman" w:cs="Times New Roman"/>
          <w:color w:val="000000"/>
          <w:sz w:val="24"/>
          <w:szCs w:val="24"/>
          <w:lang w:val="en-GB"/>
        </w:rPr>
        <w:t xml:space="preserve">topography, </w:t>
      </w:r>
      <w:r w:rsidR="00D1573F" w:rsidRPr="009927E1">
        <w:rPr>
          <w:rFonts w:ascii="Times New Roman" w:hAnsi="Times New Roman" w:cs="Times New Roman"/>
          <w:color w:val="000000"/>
          <w:sz w:val="24"/>
          <w:szCs w:val="24"/>
          <w:lang w:val="en-GB"/>
        </w:rPr>
        <w:t xml:space="preserve">etc., all of them being </w:t>
      </w:r>
      <w:r w:rsidR="00353B72">
        <w:rPr>
          <w:rFonts w:ascii="Times New Roman" w:hAnsi="Times New Roman" w:cs="Times New Roman"/>
          <w:color w:val="000000"/>
          <w:sz w:val="24"/>
          <w:szCs w:val="24"/>
          <w:lang w:val="en-GB"/>
        </w:rPr>
        <w:t xml:space="preserve">equally </w:t>
      </w:r>
      <w:r w:rsidR="00D1573F" w:rsidRPr="009927E1">
        <w:rPr>
          <w:rFonts w:ascii="Times New Roman" w:hAnsi="Times New Roman" w:cs="Times New Roman"/>
          <w:color w:val="000000"/>
          <w:sz w:val="24"/>
          <w:szCs w:val="24"/>
          <w:lang w:val="en-GB"/>
        </w:rPr>
        <w:t>important. In their opinion, focussing only on population is not sufficient, population being</w:t>
      </w:r>
      <w:r w:rsidR="003B5922" w:rsidRPr="009927E1">
        <w:rPr>
          <w:rFonts w:ascii="Times New Roman" w:hAnsi="Times New Roman" w:cs="Times New Roman"/>
          <w:color w:val="000000"/>
          <w:sz w:val="24"/>
          <w:szCs w:val="24"/>
          <w:lang w:val="en-GB"/>
        </w:rPr>
        <w:t>, as already s</w:t>
      </w:r>
      <w:r w:rsidR="00353B72">
        <w:rPr>
          <w:rFonts w:ascii="Times New Roman" w:hAnsi="Times New Roman" w:cs="Times New Roman"/>
          <w:color w:val="000000"/>
          <w:sz w:val="24"/>
          <w:szCs w:val="24"/>
          <w:lang w:val="en-GB"/>
        </w:rPr>
        <w:t>een</w:t>
      </w:r>
      <w:r w:rsidR="003B5922" w:rsidRPr="009927E1">
        <w:rPr>
          <w:rFonts w:ascii="Times New Roman" w:hAnsi="Times New Roman" w:cs="Times New Roman"/>
          <w:color w:val="000000"/>
          <w:sz w:val="24"/>
          <w:szCs w:val="24"/>
          <w:lang w:val="en-GB"/>
        </w:rPr>
        <w:t>,</w:t>
      </w:r>
      <w:r w:rsidR="00D1573F" w:rsidRPr="009927E1">
        <w:rPr>
          <w:rFonts w:ascii="Times New Roman" w:hAnsi="Times New Roman" w:cs="Times New Roman"/>
          <w:color w:val="000000"/>
          <w:sz w:val="24"/>
          <w:szCs w:val="24"/>
          <w:lang w:val="en-GB"/>
        </w:rPr>
        <w:t xml:space="preserve"> a very ambiguous concept; today</w:t>
      </w:r>
      <w:r w:rsidR="00426E40" w:rsidRPr="009927E1">
        <w:rPr>
          <w:rFonts w:ascii="Times New Roman" w:hAnsi="Times New Roman" w:cs="Times New Roman"/>
          <w:color w:val="000000"/>
          <w:sz w:val="24"/>
          <w:szCs w:val="24"/>
          <w:lang w:val="en-GB"/>
        </w:rPr>
        <w:t>,</w:t>
      </w:r>
      <w:r w:rsidR="00D1573F" w:rsidRPr="009927E1">
        <w:rPr>
          <w:rFonts w:ascii="Times New Roman" w:hAnsi="Times New Roman" w:cs="Times New Roman"/>
          <w:color w:val="000000"/>
          <w:sz w:val="24"/>
          <w:szCs w:val="24"/>
          <w:lang w:val="en-GB"/>
        </w:rPr>
        <w:t xml:space="preserve"> we have a </w:t>
      </w:r>
      <w:r w:rsidR="006A62C5" w:rsidRPr="009927E1">
        <w:rPr>
          <w:rFonts w:ascii="Times New Roman" w:hAnsi="Times New Roman" w:cs="Times New Roman"/>
          <w:color w:val="000000"/>
          <w:sz w:val="24"/>
          <w:szCs w:val="24"/>
          <w:lang w:val="en-GB"/>
        </w:rPr>
        <w:t>very</w:t>
      </w:r>
      <w:r w:rsidR="00D1573F" w:rsidRPr="009927E1">
        <w:rPr>
          <w:rFonts w:ascii="Times New Roman" w:hAnsi="Times New Roman" w:cs="Times New Roman"/>
          <w:color w:val="000000"/>
          <w:sz w:val="24"/>
          <w:szCs w:val="24"/>
          <w:lang w:val="en-GB"/>
        </w:rPr>
        <w:t xml:space="preserve"> wide range of experiences related to the size </w:t>
      </w:r>
      <w:r w:rsidR="00C41484" w:rsidRPr="009927E1">
        <w:rPr>
          <w:rFonts w:ascii="Times New Roman" w:hAnsi="Times New Roman" w:cs="Times New Roman"/>
          <w:color w:val="000000"/>
          <w:sz w:val="24"/>
          <w:szCs w:val="24"/>
          <w:lang w:val="en-GB"/>
        </w:rPr>
        <w:t>o</w:t>
      </w:r>
      <w:r w:rsidR="00D1573F" w:rsidRPr="009927E1">
        <w:rPr>
          <w:rFonts w:ascii="Times New Roman" w:hAnsi="Times New Roman" w:cs="Times New Roman"/>
          <w:color w:val="000000"/>
          <w:sz w:val="24"/>
          <w:szCs w:val="24"/>
          <w:lang w:val="en-GB"/>
        </w:rPr>
        <w:t>f territorial entities</w:t>
      </w:r>
      <w:r w:rsidR="00426E40" w:rsidRPr="009927E1">
        <w:rPr>
          <w:rFonts w:ascii="Times New Roman" w:hAnsi="Times New Roman" w:cs="Times New Roman"/>
          <w:color w:val="000000"/>
          <w:sz w:val="24"/>
          <w:szCs w:val="24"/>
          <w:lang w:val="en-GB"/>
        </w:rPr>
        <w:t xml:space="preserve"> (democracy is used in states with large populations or cities with millions of inhabitants)</w:t>
      </w:r>
      <w:r w:rsidR="00D1573F" w:rsidRPr="009927E1">
        <w:rPr>
          <w:rFonts w:ascii="Times New Roman" w:hAnsi="Times New Roman" w:cs="Times New Roman"/>
          <w:color w:val="000000"/>
          <w:sz w:val="24"/>
          <w:szCs w:val="24"/>
          <w:lang w:val="en-GB"/>
        </w:rPr>
        <w:t>, with different kind of advantages and disadvantages</w:t>
      </w:r>
      <w:r w:rsidR="006A62C5" w:rsidRPr="009927E1">
        <w:rPr>
          <w:rFonts w:ascii="Times New Roman" w:hAnsi="Times New Roman" w:cs="Times New Roman"/>
          <w:color w:val="000000"/>
          <w:sz w:val="24"/>
          <w:szCs w:val="24"/>
          <w:lang w:val="en-GB"/>
        </w:rPr>
        <w:t>,</w:t>
      </w:r>
      <w:r w:rsidR="00D1573F" w:rsidRPr="009927E1">
        <w:rPr>
          <w:rFonts w:ascii="Times New Roman" w:hAnsi="Times New Roman" w:cs="Times New Roman"/>
          <w:color w:val="000000"/>
          <w:sz w:val="24"/>
          <w:szCs w:val="24"/>
          <w:lang w:val="en-GB"/>
        </w:rPr>
        <w:t xml:space="preserve"> at the same time. Even a definition of what is ‘small’ and ‘large’ is a very </w:t>
      </w:r>
      <w:r w:rsidR="00426E40" w:rsidRPr="009927E1">
        <w:rPr>
          <w:rFonts w:ascii="Times New Roman" w:hAnsi="Times New Roman" w:cs="Times New Roman"/>
          <w:color w:val="000000"/>
          <w:sz w:val="24"/>
          <w:szCs w:val="24"/>
          <w:lang w:val="en-GB"/>
        </w:rPr>
        <w:t xml:space="preserve">long and delicate </w:t>
      </w:r>
      <w:r w:rsidR="006A62C5" w:rsidRPr="009927E1">
        <w:rPr>
          <w:rFonts w:ascii="Times New Roman" w:hAnsi="Times New Roman" w:cs="Times New Roman"/>
          <w:color w:val="000000"/>
          <w:sz w:val="24"/>
          <w:szCs w:val="24"/>
          <w:lang w:val="en-GB"/>
        </w:rPr>
        <w:t xml:space="preserve">theoretical and practical </w:t>
      </w:r>
      <w:r w:rsidR="00426E40" w:rsidRPr="009927E1">
        <w:rPr>
          <w:rFonts w:ascii="Times New Roman" w:hAnsi="Times New Roman" w:cs="Times New Roman"/>
          <w:color w:val="000000"/>
          <w:sz w:val="24"/>
          <w:szCs w:val="24"/>
          <w:lang w:val="en-GB"/>
        </w:rPr>
        <w:t>discussion, and we are moving on quicksand when doing that.</w:t>
      </w:r>
    </w:p>
    <w:p w14:paraId="43AD7BDF" w14:textId="3D0488EE" w:rsidR="00EC0354" w:rsidRPr="009927E1" w:rsidRDefault="00D1573F" w:rsidP="00EC0354">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Then, w</w:t>
      </w:r>
      <w:r w:rsidR="00DA2F76" w:rsidRPr="009927E1">
        <w:rPr>
          <w:rFonts w:ascii="Times New Roman" w:hAnsi="Times New Roman" w:cs="Times New Roman"/>
          <w:color w:val="000000"/>
          <w:sz w:val="24"/>
          <w:szCs w:val="24"/>
          <w:lang w:val="en-GB"/>
        </w:rPr>
        <w:t xml:space="preserve">hy do we </w:t>
      </w:r>
      <w:r w:rsidR="00AF30E5" w:rsidRPr="009927E1">
        <w:rPr>
          <w:rFonts w:ascii="Times New Roman" w:hAnsi="Times New Roman" w:cs="Times New Roman"/>
          <w:color w:val="000000"/>
          <w:sz w:val="24"/>
          <w:szCs w:val="24"/>
          <w:lang w:val="en-GB"/>
        </w:rPr>
        <w:t>discuss about</w:t>
      </w:r>
      <w:r w:rsidR="00DA2F76" w:rsidRPr="009927E1">
        <w:rPr>
          <w:rFonts w:ascii="Times New Roman" w:hAnsi="Times New Roman" w:cs="Times New Roman"/>
          <w:color w:val="000000"/>
          <w:sz w:val="24"/>
          <w:szCs w:val="24"/>
          <w:lang w:val="en-GB"/>
        </w:rPr>
        <w:t xml:space="preserve"> territorial reforms? </w:t>
      </w:r>
      <w:r w:rsidR="001A62EA" w:rsidRPr="009927E1">
        <w:rPr>
          <w:rFonts w:ascii="Times New Roman" w:hAnsi="Times New Roman" w:cs="Times New Roman"/>
          <w:color w:val="000000"/>
          <w:sz w:val="24"/>
          <w:szCs w:val="24"/>
          <w:lang w:val="en-GB"/>
        </w:rPr>
        <w:t>The Organisation for Economic Co-operation and Development-</w:t>
      </w:r>
      <w:r w:rsidR="00DA2F76" w:rsidRPr="009927E1">
        <w:rPr>
          <w:rFonts w:ascii="Times New Roman" w:hAnsi="Times New Roman" w:cs="Times New Roman"/>
          <w:color w:val="000000"/>
          <w:sz w:val="24"/>
          <w:szCs w:val="24"/>
          <w:lang w:val="en-GB"/>
        </w:rPr>
        <w:t>OECD (2017:58) identifies four major drivers for the process:</w:t>
      </w:r>
      <w:r w:rsidR="00410BCD" w:rsidRPr="009927E1">
        <w:rPr>
          <w:rFonts w:ascii="Times New Roman" w:hAnsi="Times New Roman" w:cs="Times New Roman"/>
          <w:color w:val="000000"/>
          <w:sz w:val="24"/>
          <w:szCs w:val="24"/>
          <w:lang w:val="en-GB"/>
        </w:rPr>
        <w:t xml:space="preserve"> </w:t>
      </w:r>
      <w:r w:rsidR="00AC6470" w:rsidRPr="009927E1">
        <w:rPr>
          <w:rFonts w:ascii="Times New Roman" w:hAnsi="Times New Roman" w:cs="Times New Roman"/>
          <w:color w:val="000000"/>
          <w:sz w:val="24"/>
          <w:szCs w:val="24"/>
          <w:lang w:val="en-GB"/>
        </w:rPr>
        <w:t>political changes (changes in the multi-level governance system</w:t>
      </w:r>
      <w:r w:rsidR="00410BCD" w:rsidRPr="009927E1">
        <w:rPr>
          <w:rFonts w:ascii="Times New Roman" w:hAnsi="Times New Roman" w:cs="Times New Roman"/>
          <w:color w:val="000000"/>
          <w:sz w:val="24"/>
          <w:szCs w:val="24"/>
          <w:lang w:val="en-GB"/>
        </w:rPr>
        <w:t>, such as decentralization or re-centralization</w:t>
      </w:r>
      <w:r w:rsidR="00AC6470" w:rsidRPr="009927E1">
        <w:rPr>
          <w:rFonts w:ascii="Times New Roman" w:hAnsi="Times New Roman" w:cs="Times New Roman"/>
          <w:color w:val="000000"/>
          <w:sz w:val="24"/>
          <w:szCs w:val="24"/>
          <w:lang w:val="en-GB"/>
        </w:rPr>
        <w:t xml:space="preserve">); </w:t>
      </w:r>
      <w:r w:rsidR="00DA2F76" w:rsidRPr="009927E1">
        <w:rPr>
          <w:rFonts w:ascii="Times New Roman" w:hAnsi="Times New Roman" w:cs="Times New Roman"/>
          <w:color w:val="000000"/>
          <w:sz w:val="24"/>
          <w:szCs w:val="24"/>
          <w:lang w:val="en-GB"/>
        </w:rPr>
        <w:t xml:space="preserve">demographic changes </w:t>
      </w:r>
      <w:r w:rsidR="00410BCD" w:rsidRPr="009927E1">
        <w:rPr>
          <w:rFonts w:ascii="Times New Roman" w:hAnsi="Times New Roman" w:cs="Times New Roman"/>
          <w:color w:val="000000"/>
          <w:sz w:val="24"/>
          <w:szCs w:val="24"/>
          <w:lang w:val="en-GB"/>
        </w:rPr>
        <w:t>(</w:t>
      </w:r>
      <w:r w:rsidR="00DA2F76" w:rsidRPr="009927E1">
        <w:rPr>
          <w:rFonts w:ascii="Times New Roman" w:hAnsi="Times New Roman" w:cs="Times New Roman"/>
          <w:color w:val="000000"/>
          <w:sz w:val="24"/>
          <w:szCs w:val="24"/>
          <w:lang w:val="en-GB"/>
        </w:rPr>
        <w:t xml:space="preserve">migration, urbanization, population aging); socio-economic changes (changes in services, transport, </w:t>
      </w:r>
      <w:r w:rsidR="00F439E6">
        <w:rPr>
          <w:rFonts w:ascii="Times New Roman" w:hAnsi="Times New Roman" w:cs="Times New Roman"/>
          <w:color w:val="000000"/>
          <w:sz w:val="24"/>
          <w:szCs w:val="24"/>
          <w:lang w:val="en-GB"/>
        </w:rPr>
        <w:t xml:space="preserve">new ways of using </w:t>
      </w:r>
      <w:r w:rsidR="00DA2F76" w:rsidRPr="009927E1">
        <w:rPr>
          <w:rFonts w:ascii="Times New Roman" w:hAnsi="Times New Roman" w:cs="Times New Roman"/>
          <w:color w:val="000000"/>
          <w:sz w:val="24"/>
          <w:szCs w:val="24"/>
          <w:lang w:val="en-GB"/>
        </w:rPr>
        <w:t>information and communication technologies, mismatches between functional areas and administrative boundaries); local management and finance (need for fiscal consolidation</w:t>
      </w:r>
      <w:r w:rsidR="00AC6470" w:rsidRPr="009927E1">
        <w:rPr>
          <w:rFonts w:ascii="Times New Roman" w:hAnsi="Times New Roman" w:cs="Times New Roman"/>
          <w:color w:val="000000"/>
          <w:sz w:val="24"/>
          <w:szCs w:val="24"/>
          <w:lang w:val="en-GB"/>
        </w:rPr>
        <w:t>, determined by lack of financial resources or by overlapping/duplications of public services).</w:t>
      </w:r>
    </w:p>
    <w:p w14:paraId="3A426102" w14:textId="765EF7D9" w:rsidR="001C67E3" w:rsidRPr="009927E1" w:rsidRDefault="00074744" w:rsidP="001C67E3">
      <w:pPr>
        <w:suppressAutoHyphens/>
        <w:autoSpaceDE w:val="0"/>
        <w:autoSpaceDN w:val="0"/>
        <w:adjustRightInd w:val="0"/>
        <w:spacing w:after="0" w:line="360" w:lineRule="auto"/>
        <w:ind w:firstLine="283"/>
        <w:jc w:val="both"/>
        <w:textAlignment w:val="center"/>
        <w:rPr>
          <w:rFonts w:ascii="Times New Roman" w:hAnsi="Times New Roman"/>
          <w:sz w:val="24"/>
          <w:szCs w:val="24"/>
          <w:lang w:val="en-GB"/>
        </w:rPr>
      </w:pPr>
      <w:r w:rsidRPr="009927E1">
        <w:rPr>
          <w:rFonts w:ascii="Times New Roman" w:hAnsi="Times New Roman" w:cs="Times New Roman"/>
          <w:color w:val="000000"/>
          <w:sz w:val="24"/>
          <w:szCs w:val="24"/>
          <w:lang w:val="en-GB"/>
        </w:rPr>
        <w:t>Local finances and t</w:t>
      </w:r>
      <w:r w:rsidR="00A52EC1" w:rsidRPr="009927E1">
        <w:rPr>
          <w:rFonts w:ascii="Times New Roman" w:hAnsi="Times New Roman" w:cs="Times New Roman"/>
          <w:color w:val="000000"/>
          <w:sz w:val="24"/>
          <w:szCs w:val="24"/>
          <w:lang w:val="en-GB"/>
        </w:rPr>
        <w:t xml:space="preserve">he </w:t>
      </w:r>
      <w:r w:rsidR="00470BF0" w:rsidRPr="009927E1">
        <w:rPr>
          <w:rFonts w:ascii="Times New Roman" w:hAnsi="Times New Roman" w:cs="Times New Roman"/>
          <w:color w:val="000000"/>
          <w:sz w:val="24"/>
          <w:szCs w:val="24"/>
          <w:lang w:val="en-GB"/>
        </w:rPr>
        <w:t>‘</w:t>
      </w:r>
      <w:r w:rsidR="00A52EC1" w:rsidRPr="009927E1">
        <w:rPr>
          <w:rFonts w:ascii="Times New Roman" w:hAnsi="Times New Roman" w:cs="Times New Roman"/>
          <w:color w:val="000000"/>
          <w:sz w:val="24"/>
          <w:szCs w:val="24"/>
          <w:lang w:val="en-GB"/>
        </w:rPr>
        <w:t>economies of scale</w:t>
      </w:r>
      <w:r w:rsidR="00470BF0" w:rsidRPr="009927E1">
        <w:rPr>
          <w:rFonts w:ascii="Times New Roman" w:hAnsi="Times New Roman" w:cs="Times New Roman"/>
          <w:color w:val="000000"/>
          <w:sz w:val="24"/>
          <w:szCs w:val="24"/>
          <w:lang w:val="en-GB"/>
        </w:rPr>
        <w:t xml:space="preserve">’ </w:t>
      </w:r>
      <w:r w:rsidRPr="009927E1">
        <w:rPr>
          <w:rFonts w:ascii="Times New Roman" w:hAnsi="Times New Roman" w:cs="Times New Roman"/>
          <w:color w:val="000000"/>
          <w:sz w:val="24"/>
          <w:szCs w:val="24"/>
          <w:lang w:val="en-GB"/>
        </w:rPr>
        <w:t xml:space="preserve">are </w:t>
      </w:r>
      <w:r w:rsidR="001C67E3" w:rsidRPr="009927E1">
        <w:rPr>
          <w:rFonts w:ascii="Times New Roman" w:hAnsi="Times New Roman" w:cs="Times New Roman"/>
          <w:color w:val="000000"/>
          <w:sz w:val="24"/>
          <w:szCs w:val="24"/>
          <w:lang w:val="en-GB"/>
        </w:rPr>
        <w:t xml:space="preserve">the </w:t>
      </w:r>
      <w:r w:rsidR="00346112">
        <w:rPr>
          <w:rFonts w:ascii="Times New Roman" w:hAnsi="Times New Roman" w:cs="Times New Roman"/>
          <w:color w:val="000000"/>
          <w:sz w:val="24"/>
          <w:szCs w:val="24"/>
          <w:lang w:val="en-GB"/>
        </w:rPr>
        <w:t xml:space="preserve">two </w:t>
      </w:r>
      <w:r w:rsidR="001C67E3" w:rsidRPr="009927E1">
        <w:rPr>
          <w:rFonts w:ascii="Times New Roman" w:hAnsi="Times New Roman" w:cs="Times New Roman"/>
          <w:color w:val="000000"/>
          <w:sz w:val="24"/>
          <w:szCs w:val="24"/>
          <w:lang w:val="en-GB"/>
        </w:rPr>
        <w:t xml:space="preserve">most debated issues in connection </w:t>
      </w:r>
      <w:r w:rsidRPr="009927E1">
        <w:rPr>
          <w:rFonts w:ascii="Times New Roman" w:hAnsi="Times New Roman" w:cs="Times New Roman"/>
          <w:color w:val="000000"/>
          <w:sz w:val="24"/>
          <w:szCs w:val="24"/>
          <w:lang w:val="en-GB"/>
        </w:rPr>
        <w:t xml:space="preserve">with </w:t>
      </w:r>
      <w:r w:rsidR="001C67E3" w:rsidRPr="009927E1">
        <w:rPr>
          <w:rFonts w:ascii="Times New Roman" w:hAnsi="Times New Roman" w:cs="Times New Roman"/>
          <w:color w:val="000000"/>
          <w:sz w:val="24"/>
          <w:szCs w:val="24"/>
          <w:lang w:val="en-GB"/>
        </w:rPr>
        <w:t xml:space="preserve">consolidation of </w:t>
      </w:r>
      <w:r w:rsidR="001E3E1E" w:rsidRPr="009927E1">
        <w:rPr>
          <w:rFonts w:ascii="Times New Roman" w:hAnsi="Times New Roman" w:cs="Times New Roman"/>
          <w:color w:val="000000"/>
          <w:sz w:val="24"/>
          <w:szCs w:val="24"/>
          <w:lang w:val="en-GB"/>
        </w:rPr>
        <w:t>territorial entities</w:t>
      </w:r>
      <w:r w:rsidR="002E3386" w:rsidRPr="009927E1">
        <w:rPr>
          <w:rFonts w:ascii="Times New Roman" w:hAnsi="Times New Roman" w:cs="Times New Roman"/>
          <w:color w:val="000000"/>
          <w:sz w:val="24"/>
          <w:szCs w:val="24"/>
          <w:lang w:val="en-GB"/>
        </w:rPr>
        <w:t xml:space="preserve"> </w:t>
      </w:r>
      <w:r w:rsidR="001C67E3" w:rsidRPr="009927E1">
        <w:rPr>
          <w:rFonts w:ascii="Times New Roman" w:hAnsi="Times New Roman" w:cs="Times New Roman"/>
          <w:color w:val="000000"/>
          <w:sz w:val="24"/>
          <w:szCs w:val="24"/>
          <w:lang w:val="en-GB"/>
        </w:rPr>
        <w:t xml:space="preserve">that </w:t>
      </w:r>
      <w:r w:rsidR="000A7A48">
        <w:rPr>
          <w:rFonts w:ascii="Times New Roman" w:hAnsi="Times New Roman" w:cs="Times New Roman"/>
          <w:color w:val="000000"/>
          <w:sz w:val="24"/>
          <w:szCs w:val="24"/>
          <w:lang w:val="en-GB"/>
        </w:rPr>
        <w:t xml:space="preserve">are </w:t>
      </w:r>
      <w:r w:rsidR="00346112">
        <w:rPr>
          <w:rFonts w:ascii="Times New Roman" w:hAnsi="Times New Roman" w:cs="Times New Roman"/>
          <w:color w:val="000000"/>
          <w:sz w:val="24"/>
          <w:szCs w:val="24"/>
          <w:lang w:val="en-GB"/>
        </w:rPr>
        <w:t>supposed to</w:t>
      </w:r>
      <w:r w:rsidR="001C67E3" w:rsidRPr="009927E1">
        <w:rPr>
          <w:rFonts w:ascii="Times New Roman" w:hAnsi="Times New Roman" w:cs="Times New Roman"/>
          <w:color w:val="000000"/>
          <w:sz w:val="24"/>
          <w:szCs w:val="24"/>
          <w:lang w:val="en-GB"/>
        </w:rPr>
        <w:t xml:space="preserve"> allow local governments to be more financial sustainable, efficient </w:t>
      </w:r>
      <w:r w:rsidR="009E5BB1" w:rsidRPr="009927E1">
        <w:rPr>
          <w:rFonts w:ascii="Times New Roman" w:hAnsi="Times New Roman" w:cs="Times New Roman"/>
          <w:color w:val="000000"/>
          <w:sz w:val="24"/>
          <w:szCs w:val="24"/>
          <w:lang w:val="en-GB"/>
        </w:rPr>
        <w:t>or</w:t>
      </w:r>
      <w:r w:rsidR="001C67E3" w:rsidRPr="009927E1">
        <w:rPr>
          <w:rFonts w:ascii="Times New Roman" w:hAnsi="Times New Roman" w:cs="Times New Roman"/>
          <w:color w:val="000000"/>
          <w:sz w:val="24"/>
          <w:szCs w:val="24"/>
          <w:lang w:val="en-GB"/>
        </w:rPr>
        <w:t xml:space="preserve"> to provide better quality public services. </w:t>
      </w:r>
      <w:r w:rsidR="001C67E3" w:rsidRPr="009927E1">
        <w:rPr>
          <w:rFonts w:ascii="Times New Roman" w:hAnsi="Times New Roman"/>
          <w:sz w:val="24"/>
          <w:szCs w:val="24"/>
          <w:lang w:val="en-GB"/>
        </w:rPr>
        <w:t xml:space="preserve">Larger areas and population offer bigger possibilities for economic development, competition </w:t>
      </w:r>
      <w:r w:rsidR="00E2790C" w:rsidRPr="009927E1">
        <w:rPr>
          <w:rFonts w:ascii="Times New Roman" w:hAnsi="Times New Roman"/>
          <w:sz w:val="24"/>
          <w:szCs w:val="24"/>
          <w:lang w:val="en-GB"/>
        </w:rPr>
        <w:t>t</w:t>
      </w:r>
      <w:r w:rsidR="001C67E3" w:rsidRPr="009927E1">
        <w:rPr>
          <w:rFonts w:ascii="Times New Roman" w:hAnsi="Times New Roman"/>
          <w:sz w:val="24"/>
          <w:szCs w:val="24"/>
          <w:lang w:val="en-GB"/>
        </w:rPr>
        <w:t xml:space="preserve">hat favour innovation, </w:t>
      </w:r>
      <w:r w:rsidR="00E2790C" w:rsidRPr="009927E1">
        <w:rPr>
          <w:rFonts w:ascii="Times New Roman" w:hAnsi="Times New Roman"/>
          <w:sz w:val="24"/>
          <w:szCs w:val="24"/>
          <w:lang w:val="en-GB"/>
        </w:rPr>
        <w:t xml:space="preserve">large </w:t>
      </w:r>
      <w:r w:rsidR="001C67E3" w:rsidRPr="009927E1">
        <w:rPr>
          <w:rFonts w:ascii="Times New Roman" w:hAnsi="Times New Roman"/>
          <w:sz w:val="24"/>
          <w:szCs w:val="24"/>
          <w:lang w:val="en-GB"/>
        </w:rPr>
        <w:t>municipalities being much more attractive for investments and offering better economic opportunities for the inhabitants.</w:t>
      </w:r>
    </w:p>
    <w:p w14:paraId="17F9FD8E" w14:textId="22FA11D8" w:rsidR="002E3386" w:rsidRPr="009927E1" w:rsidRDefault="002E3386" w:rsidP="001C67E3">
      <w:pPr>
        <w:suppressAutoHyphens/>
        <w:autoSpaceDE w:val="0"/>
        <w:autoSpaceDN w:val="0"/>
        <w:adjustRightInd w:val="0"/>
        <w:spacing w:after="0" w:line="360" w:lineRule="auto"/>
        <w:ind w:firstLine="283"/>
        <w:jc w:val="both"/>
        <w:textAlignment w:val="center"/>
        <w:rPr>
          <w:rFonts w:ascii="Times New Roman" w:hAnsi="Times New Roman"/>
          <w:sz w:val="24"/>
          <w:szCs w:val="24"/>
          <w:lang w:val="en-GB"/>
        </w:rPr>
      </w:pPr>
      <w:r w:rsidRPr="009927E1">
        <w:rPr>
          <w:rFonts w:ascii="Times New Roman" w:hAnsi="Times New Roman"/>
          <w:sz w:val="24"/>
          <w:szCs w:val="24"/>
          <w:lang w:val="en-GB"/>
        </w:rPr>
        <w:t xml:space="preserve">Analysis made after </w:t>
      </w:r>
      <w:r w:rsidR="00C842D1" w:rsidRPr="009927E1">
        <w:rPr>
          <w:rFonts w:ascii="Times New Roman" w:hAnsi="Times New Roman"/>
          <w:sz w:val="24"/>
          <w:szCs w:val="24"/>
          <w:lang w:val="en-GB"/>
        </w:rPr>
        <w:t>municipal consolidation</w:t>
      </w:r>
      <w:r w:rsidR="00691BB1" w:rsidRPr="009927E1">
        <w:rPr>
          <w:rFonts w:ascii="Times New Roman" w:hAnsi="Times New Roman"/>
          <w:sz w:val="24"/>
          <w:szCs w:val="24"/>
          <w:lang w:val="en-GB"/>
        </w:rPr>
        <w:t>s</w:t>
      </w:r>
      <w:r w:rsidR="00C842D1" w:rsidRPr="009927E1">
        <w:rPr>
          <w:rFonts w:ascii="Times New Roman" w:hAnsi="Times New Roman"/>
          <w:sz w:val="24"/>
          <w:szCs w:val="24"/>
          <w:lang w:val="en-GB"/>
        </w:rPr>
        <w:t xml:space="preserve"> in different countries (Boyne 1995; </w:t>
      </w:r>
      <w:r w:rsidR="000C17E2" w:rsidRPr="009927E1">
        <w:rPr>
          <w:rFonts w:ascii="Times New Roman" w:hAnsi="Times New Roman"/>
          <w:sz w:val="24"/>
          <w:szCs w:val="24"/>
          <w:lang w:val="en-GB"/>
        </w:rPr>
        <w:t>Blom-Hansen, Houlberg, Serritzlew and Treisman 2016</w:t>
      </w:r>
      <w:r w:rsidR="00C842D1" w:rsidRPr="009927E1">
        <w:rPr>
          <w:rFonts w:ascii="Times New Roman" w:hAnsi="Times New Roman"/>
          <w:sz w:val="24"/>
          <w:szCs w:val="24"/>
          <w:lang w:val="en-GB"/>
        </w:rPr>
        <w:t>) showed that the ‘economy of scale’ is not always a result of the reforms</w:t>
      </w:r>
      <w:r w:rsidR="00691BB1" w:rsidRPr="009927E1">
        <w:rPr>
          <w:rFonts w:ascii="Times New Roman" w:hAnsi="Times New Roman"/>
          <w:sz w:val="24"/>
          <w:szCs w:val="24"/>
          <w:lang w:val="en-GB"/>
        </w:rPr>
        <w:t xml:space="preserve"> as it was expected</w:t>
      </w:r>
      <w:r w:rsidR="00C842D1" w:rsidRPr="009927E1">
        <w:rPr>
          <w:rFonts w:ascii="Times New Roman" w:hAnsi="Times New Roman"/>
          <w:sz w:val="24"/>
          <w:szCs w:val="24"/>
          <w:lang w:val="en-GB"/>
        </w:rPr>
        <w:t>; on the contrary, even if economies of scale could be observed in some local services after consolidation, these are not related to population size</w:t>
      </w:r>
      <w:r w:rsidR="00F44F5A" w:rsidRPr="009927E1">
        <w:rPr>
          <w:rFonts w:ascii="Times New Roman" w:hAnsi="Times New Roman"/>
          <w:sz w:val="24"/>
          <w:szCs w:val="24"/>
          <w:lang w:val="en-GB"/>
        </w:rPr>
        <w:t>, being more corelated with population density</w:t>
      </w:r>
      <w:r w:rsidR="00C842D1" w:rsidRPr="009927E1">
        <w:rPr>
          <w:rFonts w:ascii="Times New Roman" w:hAnsi="Times New Roman"/>
          <w:sz w:val="24"/>
          <w:szCs w:val="24"/>
          <w:lang w:val="en-GB"/>
        </w:rPr>
        <w:t xml:space="preserve">. </w:t>
      </w:r>
      <w:r w:rsidR="00F44F5A" w:rsidRPr="009927E1">
        <w:rPr>
          <w:rFonts w:ascii="Times New Roman" w:hAnsi="Times New Roman"/>
          <w:sz w:val="24"/>
          <w:szCs w:val="24"/>
          <w:lang w:val="en-GB"/>
        </w:rPr>
        <w:t>One conclusion is that e</w:t>
      </w:r>
      <w:r w:rsidR="00C842D1" w:rsidRPr="009927E1">
        <w:rPr>
          <w:rFonts w:ascii="Times New Roman" w:hAnsi="Times New Roman"/>
          <w:sz w:val="24"/>
          <w:szCs w:val="24"/>
          <w:lang w:val="en-GB"/>
        </w:rPr>
        <w:t xml:space="preserve">ven if the two aspects should be </w:t>
      </w:r>
      <w:r w:rsidR="00F7400E" w:rsidRPr="009927E1">
        <w:rPr>
          <w:rFonts w:ascii="Times New Roman" w:hAnsi="Times New Roman"/>
          <w:sz w:val="24"/>
          <w:szCs w:val="24"/>
          <w:lang w:val="en-GB"/>
        </w:rPr>
        <w:t>analysed</w:t>
      </w:r>
      <w:r w:rsidR="00C842D1" w:rsidRPr="009927E1">
        <w:rPr>
          <w:rFonts w:ascii="Times New Roman" w:hAnsi="Times New Roman"/>
          <w:sz w:val="24"/>
          <w:szCs w:val="24"/>
          <w:lang w:val="en-GB"/>
        </w:rPr>
        <w:t xml:space="preserve"> together, the correlations between the efficiency and size of population are </w:t>
      </w:r>
      <w:r w:rsidR="000C17E2" w:rsidRPr="009927E1">
        <w:rPr>
          <w:rFonts w:ascii="Times New Roman" w:hAnsi="Times New Roman"/>
          <w:sz w:val="24"/>
          <w:szCs w:val="24"/>
          <w:lang w:val="en-GB"/>
        </w:rPr>
        <w:t>not relevant</w:t>
      </w:r>
      <w:r w:rsidR="00C842D1" w:rsidRPr="009927E1">
        <w:rPr>
          <w:rFonts w:ascii="Times New Roman" w:hAnsi="Times New Roman"/>
          <w:sz w:val="24"/>
          <w:szCs w:val="24"/>
          <w:lang w:val="en-GB"/>
        </w:rPr>
        <w:t>.</w:t>
      </w:r>
    </w:p>
    <w:p w14:paraId="02352C56" w14:textId="619F4289" w:rsidR="000C17E2" w:rsidRDefault="000C17E2" w:rsidP="001C67E3">
      <w:pPr>
        <w:suppressAutoHyphens/>
        <w:autoSpaceDE w:val="0"/>
        <w:autoSpaceDN w:val="0"/>
        <w:adjustRightInd w:val="0"/>
        <w:spacing w:after="0" w:line="360" w:lineRule="auto"/>
        <w:ind w:firstLine="283"/>
        <w:jc w:val="both"/>
        <w:textAlignment w:val="center"/>
        <w:rPr>
          <w:rFonts w:ascii="Times New Roman" w:hAnsi="Times New Roman"/>
          <w:sz w:val="24"/>
          <w:szCs w:val="24"/>
          <w:lang w:val="en-GB"/>
        </w:rPr>
      </w:pPr>
      <w:r w:rsidRPr="009927E1">
        <w:rPr>
          <w:rFonts w:ascii="Times New Roman" w:hAnsi="Times New Roman"/>
          <w:sz w:val="24"/>
          <w:szCs w:val="24"/>
          <w:lang w:val="en-GB"/>
        </w:rPr>
        <w:t>One explanation for that is brought by Treisman (2007: 56-57)</w:t>
      </w:r>
      <w:r w:rsidR="008D4E45" w:rsidRPr="009927E1">
        <w:rPr>
          <w:rFonts w:ascii="Times New Roman" w:hAnsi="Times New Roman"/>
          <w:sz w:val="24"/>
          <w:szCs w:val="24"/>
          <w:lang w:val="en-GB"/>
        </w:rPr>
        <w:t xml:space="preserve"> who</w:t>
      </w:r>
      <w:r w:rsidRPr="009927E1">
        <w:rPr>
          <w:rFonts w:ascii="Times New Roman" w:hAnsi="Times New Roman"/>
          <w:sz w:val="24"/>
          <w:szCs w:val="24"/>
          <w:lang w:val="en-GB"/>
        </w:rPr>
        <w:t xml:space="preserve"> shows that each service provide</w:t>
      </w:r>
      <w:r w:rsidR="008D4E45" w:rsidRPr="009927E1">
        <w:rPr>
          <w:rFonts w:ascii="Times New Roman" w:hAnsi="Times New Roman"/>
          <w:sz w:val="24"/>
          <w:szCs w:val="24"/>
          <w:lang w:val="en-GB"/>
        </w:rPr>
        <w:t>d</w:t>
      </w:r>
      <w:r w:rsidRPr="009927E1">
        <w:rPr>
          <w:rFonts w:ascii="Times New Roman" w:hAnsi="Times New Roman"/>
          <w:sz w:val="24"/>
          <w:szCs w:val="24"/>
          <w:lang w:val="en-GB"/>
        </w:rPr>
        <w:t xml:space="preserve"> has </w:t>
      </w:r>
      <w:r w:rsidR="0013532B" w:rsidRPr="009927E1">
        <w:rPr>
          <w:rFonts w:ascii="Times New Roman" w:hAnsi="Times New Roman"/>
          <w:sz w:val="24"/>
          <w:szCs w:val="24"/>
          <w:lang w:val="en-GB"/>
        </w:rPr>
        <w:t>a</w:t>
      </w:r>
      <w:r w:rsidRPr="009927E1">
        <w:rPr>
          <w:rFonts w:ascii="Times New Roman" w:hAnsi="Times New Roman"/>
          <w:sz w:val="24"/>
          <w:szCs w:val="24"/>
          <w:lang w:val="en-GB"/>
        </w:rPr>
        <w:t xml:space="preserve"> U-shape</w:t>
      </w:r>
      <w:r w:rsidR="0013532B" w:rsidRPr="009927E1">
        <w:rPr>
          <w:rFonts w:ascii="Times New Roman" w:hAnsi="Times New Roman"/>
          <w:sz w:val="24"/>
          <w:szCs w:val="24"/>
          <w:lang w:val="en-GB"/>
        </w:rPr>
        <w:t>d</w:t>
      </w:r>
      <w:r w:rsidRPr="009927E1">
        <w:rPr>
          <w:rFonts w:ascii="Times New Roman" w:hAnsi="Times New Roman"/>
          <w:sz w:val="24"/>
          <w:szCs w:val="24"/>
          <w:lang w:val="en-GB"/>
        </w:rPr>
        <w:t xml:space="preserve"> cost per capita: the cost drops </w:t>
      </w:r>
      <w:r w:rsidR="0013532B" w:rsidRPr="009927E1">
        <w:rPr>
          <w:rFonts w:ascii="Times New Roman" w:hAnsi="Times New Roman"/>
          <w:sz w:val="24"/>
          <w:szCs w:val="24"/>
          <w:lang w:val="en-GB"/>
        </w:rPr>
        <w:t>when the number of beneficiaries is increasing, but after a certain threshold begin increas</w:t>
      </w:r>
      <w:r w:rsidR="007E0431">
        <w:rPr>
          <w:rFonts w:ascii="Times New Roman" w:hAnsi="Times New Roman"/>
          <w:sz w:val="24"/>
          <w:szCs w:val="24"/>
          <w:lang w:val="en-GB"/>
        </w:rPr>
        <w:t>ing</w:t>
      </w:r>
      <w:r w:rsidR="0013532B" w:rsidRPr="009927E1">
        <w:rPr>
          <w:rFonts w:ascii="Times New Roman" w:hAnsi="Times New Roman"/>
          <w:sz w:val="24"/>
          <w:szCs w:val="24"/>
          <w:lang w:val="en-GB"/>
        </w:rPr>
        <w:t xml:space="preserve"> directly connected with the increase of the size of beneficiaries. Each public service, on the other hand, have i</w:t>
      </w:r>
      <w:r w:rsidR="008D4E45" w:rsidRPr="009927E1">
        <w:rPr>
          <w:rFonts w:ascii="Times New Roman" w:hAnsi="Times New Roman"/>
          <w:sz w:val="24"/>
          <w:szCs w:val="24"/>
          <w:lang w:val="en-GB"/>
        </w:rPr>
        <w:t>t</w:t>
      </w:r>
      <w:r w:rsidR="0013532B" w:rsidRPr="009927E1">
        <w:rPr>
          <w:rFonts w:ascii="Times New Roman" w:hAnsi="Times New Roman"/>
          <w:sz w:val="24"/>
          <w:szCs w:val="24"/>
          <w:lang w:val="en-GB"/>
        </w:rPr>
        <w:t>s own U-shape optimal scale, being impossible to have efficiency at the same number of beneficiaries for all services. This means that any generalization related to optimal scale is impossible and the discussion of the ideal size of population futile.</w:t>
      </w:r>
    </w:p>
    <w:p w14:paraId="7FC1088F" w14:textId="357932CE" w:rsidR="007E0431" w:rsidRPr="009927E1" w:rsidRDefault="007E0431" w:rsidP="007E0431">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sz w:val="24"/>
          <w:szCs w:val="24"/>
          <w:lang w:val="en-GB"/>
        </w:rPr>
        <w:t>Another conclusion is that local spendings are not always dropping, being higher immediately after amalgamation.</w:t>
      </w:r>
      <w:r>
        <w:rPr>
          <w:rFonts w:ascii="Times New Roman" w:hAnsi="Times New Roman"/>
          <w:sz w:val="24"/>
          <w:szCs w:val="24"/>
          <w:lang w:val="en-GB"/>
        </w:rPr>
        <w:t xml:space="preserve"> </w:t>
      </w:r>
      <w:r w:rsidRPr="009927E1">
        <w:rPr>
          <w:rFonts w:ascii="Times New Roman" w:hAnsi="Times New Roman" w:cs="Times New Roman"/>
          <w:color w:val="000000"/>
          <w:sz w:val="24"/>
          <w:szCs w:val="24"/>
          <w:lang w:val="en-GB"/>
        </w:rPr>
        <w:t xml:space="preserve">Reforms from Denmark </w:t>
      </w:r>
      <w:r>
        <w:rPr>
          <w:rFonts w:ascii="Times New Roman" w:hAnsi="Times New Roman" w:cs="Times New Roman"/>
          <w:color w:val="000000"/>
          <w:sz w:val="24"/>
          <w:szCs w:val="24"/>
          <w:lang w:val="en-GB"/>
        </w:rPr>
        <w:t xml:space="preserve">also </w:t>
      </w:r>
      <w:r w:rsidRPr="009927E1">
        <w:rPr>
          <w:rFonts w:ascii="Times New Roman" w:hAnsi="Times New Roman" w:cs="Times New Roman"/>
          <w:color w:val="000000"/>
          <w:sz w:val="24"/>
          <w:szCs w:val="24"/>
          <w:lang w:val="en-GB"/>
        </w:rPr>
        <w:t xml:space="preserve">showed, as Blom-Hansen (2010) showed that a phenomenon of </w:t>
      </w:r>
      <w:r>
        <w:rPr>
          <w:rFonts w:ascii="Times New Roman" w:hAnsi="Times New Roman" w:cs="Times New Roman"/>
          <w:color w:val="000000"/>
          <w:sz w:val="24"/>
          <w:szCs w:val="24"/>
          <w:lang w:val="en-GB"/>
        </w:rPr>
        <w:t>‘</w:t>
      </w:r>
      <w:r w:rsidRPr="009927E1">
        <w:rPr>
          <w:rFonts w:ascii="Times New Roman" w:hAnsi="Times New Roman" w:cs="Times New Roman"/>
          <w:color w:val="000000"/>
          <w:sz w:val="24"/>
          <w:szCs w:val="24"/>
          <w:lang w:val="en-GB"/>
        </w:rPr>
        <w:t>pooling</w:t>
      </w:r>
      <w:r>
        <w:rPr>
          <w:rFonts w:ascii="Times New Roman" w:hAnsi="Times New Roman" w:cs="Times New Roman"/>
          <w:color w:val="000000"/>
          <w:sz w:val="24"/>
          <w:szCs w:val="24"/>
          <w:lang w:val="en-GB"/>
        </w:rPr>
        <w:t>’</w:t>
      </w:r>
      <w:r w:rsidRPr="009927E1">
        <w:rPr>
          <w:rFonts w:ascii="Times New Roman" w:hAnsi="Times New Roman" w:cs="Times New Roman"/>
          <w:color w:val="000000"/>
          <w:sz w:val="24"/>
          <w:szCs w:val="24"/>
          <w:lang w:val="en-GB"/>
        </w:rPr>
        <w:t xml:space="preserve"> tends to appear in the municipalities</w:t>
      </w:r>
      <w:r>
        <w:rPr>
          <w:rFonts w:ascii="Times New Roman" w:hAnsi="Times New Roman" w:cs="Times New Roman"/>
          <w:color w:val="000000"/>
          <w:sz w:val="24"/>
          <w:szCs w:val="24"/>
          <w:lang w:val="en-GB"/>
        </w:rPr>
        <w:t xml:space="preserve"> before consolidation</w:t>
      </w:r>
      <w:r w:rsidRPr="009927E1">
        <w:rPr>
          <w:rFonts w:ascii="Times New Roman" w:hAnsi="Times New Roman" w:cs="Times New Roman"/>
          <w:color w:val="000000"/>
          <w:sz w:val="24"/>
          <w:szCs w:val="24"/>
          <w:lang w:val="en-GB"/>
        </w:rPr>
        <w:t>: the local authorities are tempted to spend irrationally financial resources before the amalgamation, transferring these costs/debts towards the new administrative ones in a free-rider type of behaviour.</w:t>
      </w:r>
    </w:p>
    <w:p w14:paraId="2CF9395A" w14:textId="0B13764D" w:rsidR="00433969" w:rsidRDefault="00797ADB" w:rsidP="002F16A5">
      <w:pPr>
        <w:suppressAutoHyphens/>
        <w:autoSpaceDE w:val="0"/>
        <w:autoSpaceDN w:val="0"/>
        <w:adjustRightInd w:val="0"/>
        <w:spacing w:after="0" w:line="360" w:lineRule="auto"/>
        <w:ind w:firstLine="283"/>
        <w:jc w:val="both"/>
        <w:textAlignment w:val="center"/>
        <w:rPr>
          <w:rFonts w:ascii="Times New Roman" w:hAnsi="Times New Roman"/>
          <w:sz w:val="24"/>
          <w:szCs w:val="24"/>
          <w:lang w:val="en-GB"/>
        </w:rPr>
      </w:pPr>
      <w:r w:rsidRPr="009927E1">
        <w:rPr>
          <w:rFonts w:ascii="Times New Roman" w:hAnsi="Times New Roman"/>
          <w:sz w:val="24"/>
          <w:szCs w:val="24"/>
          <w:lang w:val="en-GB"/>
        </w:rPr>
        <w:t xml:space="preserve">Following the above-mentioned arguments, </w:t>
      </w:r>
      <w:r w:rsidR="00EF77FF" w:rsidRPr="009927E1">
        <w:rPr>
          <w:rFonts w:ascii="Times New Roman" w:hAnsi="Times New Roman"/>
          <w:sz w:val="24"/>
          <w:szCs w:val="24"/>
          <w:lang w:val="en-GB"/>
        </w:rPr>
        <w:t xml:space="preserve">OECD (2017:68) consider that member countries should have no common minimum thresholds for population or geographic area, the decision being </w:t>
      </w:r>
      <w:r w:rsidR="002879BD" w:rsidRPr="009927E1">
        <w:rPr>
          <w:rFonts w:ascii="Times New Roman" w:hAnsi="Times New Roman"/>
          <w:sz w:val="24"/>
          <w:szCs w:val="24"/>
          <w:lang w:val="en-GB"/>
        </w:rPr>
        <w:t>adapted to</w:t>
      </w:r>
      <w:r w:rsidR="00EF77FF" w:rsidRPr="009927E1">
        <w:rPr>
          <w:rFonts w:ascii="Times New Roman" w:hAnsi="Times New Roman"/>
          <w:sz w:val="24"/>
          <w:szCs w:val="24"/>
          <w:lang w:val="en-GB"/>
        </w:rPr>
        <w:t xml:space="preserve"> each country particular conditions. The ideal size of a municipality should rely on the evaluation of several factors, such as: the costs of providing public services (determined by topography and accessibility for the population)</w:t>
      </w:r>
      <w:r w:rsidR="002879BD" w:rsidRPr="009927E1">
        <w:rPr>
          <w:rFonts w:ascii="Times New Roman" w:hAnsi="Times New Roman"/>
          <w:sz w:val="24"/>
          <w:szCs w:val="24"/>
          <w:lang w:val="en-GB"/>
        </w:rPr>
        <w:t>;</w:t>
      </w:r>
      <w:r w:rsidR="00EF77FF" w:rsidRPr="009927E1">
        <w:rPr>
          <w:rFonts w:ascii="Times New Roman" w:hAnsi="Times New Roman"/>
          <w:sz w:val="24"/>
          <w:szCs w:val="24"/>
          <w:lang w:val="en-GB"/>
        </w:rPr>
        <w:t xml:space="preserve"> demographic characteristics (density, socio-economic structure and ageing of population)</w:t>
      </w:r>
      <w:r w:rsidR="002879BD" w:rsidRPr="009927E1">
        <w:rPr>
          <w:rFonts w:ascii="Times New Roman" w:hAnsi="Times New Roman"/>
          <w:sz w:val="24"/>
          <w:szCs w:val="24"/>
          <w:lang w:val="en-GB"/>
        </w:rPr>
        <w:t>;</w:t>
      </w:r>
      <w:r w:rsidR="00EF77FF" w:rsidRPr="009927E1">
        <w:rPr>
          <w:rFonts w:ascii="Times New Roman" w:hAnsi="Times New Roman"/>
          <w:sz w:val="24"/>
          <w:szCs w:val="24"/>
          <w:lang w:val="en-GB"/>
        </w:rPr>
        <w:t xml:space="preserve"> general environment (rural or urban)</w:t>
      </w:r>
      <w:r w:rsidR="002879BD" w:rsidRPr="009927E1">
        <w:rPr>
          <w:rFonts w:ascii="Times New Roman" w:hAnsi="Times New Roman"/>
          <w:sz w:val="24"/>
          <w:szCs w:val="24"/>
          <w:lang w:val="en-GB"/>
        </w:rPr>
        <w:t>;</w:t>
      </w:r>
      <w:r w:rsidR="00EF77FF" w:rsidRPr="009927E1">
        <w:rPr>
          <w:rFonts w:ascii="Times New Roman" w:hAnsi="Times New Roman"/>
          <w:sz w:val="24"/>
          <w:szCs w:val="24"/>
          <w:lang w:val="en-GB"/>
        </w:rPr>
        <w:t xml:space="preserve"> economy (economic sectors, financial resources, etc.)</w:t>
      </w:r>
      <w:r w:rsidR="002879BD" w:rsidRPr="009927E1">
        <w:rPr>
          <w:rFonts w:ascii="Times New Roman" w:hAnsi="Times New Roman"/>
          <w:sz w:val="24"/>
          <w:szCs w:val="24"/>
          <w:lang w:val="en-GB"/>
        </w:rPr>
        <w:t>;</w:t>
      </w:r>
      <w:r w:rsidR="00EF77FF" w:rsidRPr="009927E1">
        <w:rPr>
          <w:rFonts w:ascii="Times New Roman" w:hAnsi="Times New Roman"/>
          <w:sz w:val="24"/>
          <w:szCs w:val="24"/>
          <w:lang w:val="en-GB"/>
        </w:rPr>
        <w:t xml:space="preserve"> type of services and the responsibilities conducted by local authorities (education, health, water supply, etc.).</w:t>
      </w:r>
    </w:p>
    <w:p w14:paraId="7000ABD5" w14:textId="23B61E93" w:rsidR="00E02BED" w:rsidRPr="009927E1" w:rsidRDefault="00095E0F" w:rsidP="00E02BED">
      <w:pPr>
        <w:keepNext/>
        <w:suppressAutoHyphens/>
        <w:autoSpaceDE w:val="0"/>
        <w:autoSpaceDN w:val="0"/>
        <w:adjustRightInd w:val="0"/>
        <w:spacing w:before="240" w:after="0" w:line="360" w:lineRule="auto"/>
        <w:ind w:left="578" w:hanging="578"/>
        <w:textAlignment w:val="center"/>
        <w:outlineLvl w:val="1"/>
        <w:rPr>
          <w:rFonts w:ascii="Times New Roman" w:hAnsi="Times New Roman" w:cs="Times New Roman"/>
          <w:color w:val="000000"/>
          <w:sz w:val="24"/>
          <w:szCs w:val="24"/>
          <w:lang w:val="en-GB"/>
        </w:rPr>
      </w:pPr>
      <w:bookmarkStart w:id="2" w:name="_Hlk160341109"/>
      <w:bookmarkEnd w:id="1"/>
      <w:r w:rsidRPr="009927E1">
        <w:rPr>
          <w:rFonts w:ascii="Times New Roman" w:hAnsi="Times New Roman" w:cs="Times New Roman"/>
          <w:i/>
          <w:iCs/>
          <w:color w:val="000000"/>
          <w:sz w:val="24"/>
          <w:szCs w:val="24"/>
          <w:lang w:val="en-GB"/>
        </w:rPr>
        <w:lastRenderedPageBreak/>
        <w:t xml:space="preserve">Fragmentation </w:t>
      </w:r>
      <w:r w:rsidR="00EA6B71">
        <w:rPr>
          <w:rFonts w:ascii="Times New Roman" w:hAnsi="Times New Roman" w:cs="Times New Roman"/>
          <w:i/>
          <w:iCs/>
          <w:color w:val="000000"/>
          <w:sz w:val="24"/>
          <w:szCs w:val="24"/>
          <w:lang w:val="en-GB"/>
        </w:rPr>
        <w:t>and</w:t>
      </w:r>
      <w:r w:rsidRPr="009927E1">
        <w:rPr>
          <w:rFonts w:ascii="Times New Roman" w:hAnsi="Times New Roman" w:cs="Times New Roman"/>
          <w:i/>
          <w:iCs/>
          <w:color w:val="000000"/>
          <w:sz w:val="24"/>
          <w:szCs w:val="24"/>
          <w:lang w:val="en-GB"/>
        </w:rPr>
        <w:t xml:space="preserve"> consolidation</w:t>
      </w:r>
      <w:r w:rsidR="00095B57">
        <w:rPr>
          <w:rFonts w:ascii="Times New Roman" w:hAnsi="Times New Roman" w:cs="Times New Roman"/>
          <w:i/>
          <w:iCs/>
          <w:color w:val="000000"/>
          <w:sz w:val="24"/>
          <w:szCs w:val="24"/>
          <w:lang w:val="en-GB"/>
        </w:rPr>
        <w:t xml:space="preserve"> in </w:t>
      </w:r>
      <w:r w:rsidR="00095B57">
        <w:rPr>
          <w:rFonts w:ascii="Times New Roman" w:hAnsi="Times New Roman" w:cs="Times New Roman"/>
          <w:i/>
          <w:iCs/>
          <w:color w:val="000000"/>
          <w:sz w:val="24"/>
          <w:szCs w:val="24"/>
          <w:lang w:val="en-US"/>
        </w:rPr>
        <w:t>‘</w:t>
      </w:r>
      <w:r w:rsidR="00095B57">
        <w:rPr>
          <w:rFonts w:ascii="Times New Roman" w:hAnsi="Times New Roman" w:cs="Times New Roman"/>
          <w:i/>
          <w:iCs/>
          <w:color w:val="000000"/>
          <w:sz w:val="24"/>
          <w:szCs w:val="24"/>
          <w:lang w:val="en-GB"/>
        </w:rPr>
        <w:t>old’ and ‘new’ Europe</w:t>
      </w:r>
    </w:p>
    <w:bookmarkEnd w:id="2"/>
    <w:p w14:paraId="663CA220" w14:textId="77DF64E5" w:rsidR="00907149" w:rsidRPr="009927E1" w:rsidRDefault="00095E0F" w:rsidP="00264B0B">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T</w:t>
      </w:r>
      <w:r w:rsidR="00264B0B" w:rsidRPr="009927E1">
        <w:rPr>
          <w:rFonts w:ascii="Times New Roman" w:hAnsi="Times New Roman" w:cs="Times New Roman"/>
          <w:color w:val="000000"/>
          <w:sz w:val="24"/>
          <w:szCs w:val="24"/>
          <w:lang w:val="en-GB"/>
        </w:rPr>
        <w:t xml:space="preserve">he main argument in favour of territorial reforms </w:t>
      </w:r>
      <w:r w:rsidR="00CE5C75" w:rsidRPr="009927E1">
        <w:rPr>
          <w:rFonts w:ascii="Times New Roman" w:hAnsi="Times New Roman" w:cs="Times New Roman"/>
          <w:color w:val="000000"/>
          <w:sz w:val="24"/>
          <w:szCs w:val="24"/>
          <w:lang w:val="en-GB"/>
        </w:rPr>
        <w:t>wa</w:t>
      </w:r>
      <w:r w:rsidRPr="009927E1">
        <w:rPr>
          <w:rFonts w:ascii="Times New Roman" w:hAnsi="Times New Roman" w:cs="Times New Roman"/>
          <w:color w:val="000000"/>
          <w:sz w:val="24"/>
          <w:szCs w:val="24"/>
          <w:lang w:val="en-GB"/>
        </w:rPr>
        <w:t>s</w:t>
      </w:r>
      <w:r w:rsidR="00CE5C75" w:rsidRPr="009927E1">
        <w:rPr>
          <w:rFonts w:ascii="Times New Roman" w:hAnsi="Times New Roman" w:cs="Times New Roman"/>
          <w:color w:val="000000"/>
          <w:sz w:val="24"/>
          <w:szCs w:val="24"/>
          <w:lang w:val="en-GB"/>
        </w:rPr>
        <w:t xml:space="preserve"> and still is</w:t>
      </w:r>
      <w:r w:rsidR="00264B0B" w:rsidRPr="009927E1">
        <w:rPr>
          <w:rFonts w:ascii="Times New Roman" w:hAnsi="Times New Roman" w:cs="Times New Roman"/>
          <w:color w:val="000000"/>
          <w:sz w:val="24"/>
          <w:szCs w:val="24"/>
          <w:lang w:val="en-GB"/>
        </w:rPr>
        <w:t xml:space="preserve"> the problem </w:t>
      </w:r>
      <w:r w:rsidR="000D2D9A" w:rsidRPr="009927E1">
        <w:rPr>
          <w:rFonts w:ascii="Times New Roman" w:hAnsi="Times New Roman" w:cs="Times New Roman"/>
          <w:color w:val="000000"/>
          <w:sz w:val="24"/>
          <w:szCs w:val="24"/>
          <w:lang w:val="en-GB"/>
        </w:rPr>
        <w:t>of fragmentation</w:t>
      </w:r>
      <w:r w:rsidR="0098233F" w:rsidRPr="009927E1">
        <w:rPr>
          <w:rFonts w:ascii="Times New Roman" w:hAnsi="Times New Roman" w:cs="Times New Roman"/>
          <w:color w:val="000000"/>
          <w:sz w:val="24"/>
          <w:szCs w:val="24"/>
          <w:lang w:val="en-GB"/>
        </w:rPr>
        <w:t>: t</w:t>
      </w:r>
      <w:r w:rsidRPr="009927E1">
        <w:rPr>
          <w:rFonts w:ascii="Times New Roman" w:hAnsi="Times New Roman" w:cs="Times New Roman"/>
          <w:color w:val="000000"/>
          <w:sz w:val="24"/>
          <w:szCs w:val="24"/>
          <w:lang w:val="en-GB"/>
        </w:rPr>
        <w:t>hat is why, i</w:t>
      </w:r>
      <w:r w:rsidR="00907149" w:rsidRPr="009927E1">
        <w:rPr>
          <w:rFonts w:ascii="Times New Roman" w:hAnsi="Times New Roman" w:cs="Times New Roman"/>
          <w:color w:val="000000"/>
          <w:sz w:val="24"/>
          <w:szCs w:val="24"/>
          <w:lang w:val="en-GB"/>
        </w:rPr>
        <w:t xml:space="preserve">n the past decades, a lot of </w:t>
      </w:r>
      <w:r w:rsidRPr="009927E1">
        <w:rPr>
          <w:rFonts w:ascii="Times New Roman" w:hAnsi="Times New Roman" w:cs="Times New Roman"/>
          <w:color w:val="000000"/>
          <w:sz w:val="24"/>
          <w:szCs w:val="24"/>
          <w:lang w:val="en-GB"/>
        </w:rPr>
        <w:t xml:space="preserve">the </w:t>
      </w:r>
      <w:r w:rsidR="00907149" w:rsidRPr="009927E1">
        <w:rPr>
          <w:rFonts w:ascii="Times New Roman" w:hAnsi="Times New Roman" w:cs="Times New Roman"/>
          <w:color w:val="000000"/>
          <w:sz w:val="24"/>
          <w:szCs w:val="24"/>
          <w:lang w:val="en-GB"/>
        </w:rPr>
        <w:t xml:space="preserve">developed countries have implemented territorial reforms, </w:t>
      </w:r>
      <w:r w:rsidRPr="009927E1">
        <w:rPr>
          <w:rFonts w:ascii="Times New Roman" w:hAnsi="Times New Roman" w:cs="Times New Roman"/>
          <w:color w:val="000000"/>
          <w:sz w:val="24"/>
          <w:szCs w:val="24"/>
          <w:lang w:val="en-GB"/>
        </w:rPr>
        <w:t xml:space="preserve">consolidating municipalities, </w:t>
      </w:r>
      <w:r w:rsidR="00907149" w:rsidRPr="009927E1">
        <w:rPr>
          <w:rFonts w:ascii="Times New Roman" w:hAnsi="Times New Roman" w:cs="Times New Roman"/>
          <w:color w:val="000000"/>
          <w:sz w:val="24"/>
          <w:szCs w:val="24"/>
          <w:lang w:val="en-GB"/>
        </w:rPr>
        <w:t xml:space="preserve">some </w:t>
      </w:r>
      <w:r w:rsidR="00024F04" w:rsidRPr="009927E1">
        <w:rPr>
          <w:rFonts w:ascii="Times New Roman" w:hAnsi="Times New Roman" w:cs="Times New Roman"/>
          <w:color w:val="000000"/>
          <w:sz w:val="24"/>
          <w:szCs w:val="24"/>
          <w:lang w:val="en-GB"/>
        </w:rPr>
        <w:t>of the reforms</w:t>
      </w:r>
      <w:r w:rsidR="00907149" w:rsidRPr="009927E1">
        <w:rPr>
          <w:rFonts w:ascii="Times New Roman" w:hAnsi="Times New Roman" w:cs="Times New Roman"/>
          <w:color w:val="000000"/>
          <w:sz w:val="24"/>
          <w:szCs w:val="24"/>
          <w:lang w:val="en-GB"/>
        </w:rPr>
        <w:t xml:space="preserve"> changing in a radical way the landscape of </w:t>
      </w:r>
      <w:r w:rsidR="00CE5C75" w:rsidRPr="009927E1">
        <w:rPr>
          <w:rFonts w:ascii="Times New Roman" w:hAnsi="Times New Roman" w:cs="Times New Roman"/>
          <w:color w:val="000000"/>
          <w:sz w:val="24"/>
          <w:szCs w:val="24"/>
          <w:lang w:val="en-GB"/>
        </w:rPr>
        <w:t xml:space="preserve">the </w:t>
      </w:r>
      <w:r w:rsidR="00907149" w:rsidRPr="009927E1">
        <w:rPr>
          <w:rFonts w:ascii="Times New Roman" w:hAnsi="Times New Roman" w:cs="Times New Roman"/>
          <w:color w:val="000000"/>
          <w:sz w:val="24"/>
          <w:szCs w:val="24"/>
          <w:lang w:val="en-GB"/>
        </w:rPr>
        <w:t>lowest tier of administration.</w:t>
      </w:r>
    </w:p>
    <w:p w14:paraId="4E49D7C0" w14:textId="7772E76A" w:rsidR="00CE5C75" w:rsidRPr="009927E1" w:rsidRDefault="007B7628" w:rsidP="00264B0B">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According to OECD (2014:271) the m</w:t>
      </w:r>
      <w:r w:rsidR="002C1962" w:rsidRPr="009927E1">
        <w:rPr>
          <w:rFonts w:ascii="Times New Roman" w:hAnsi="Times New Roman" w:cs="Times New Roman"/>
          <w:color w:val="000000"/>
          <w:sz w:val="24"/>
          <w:szCs w:val="24"/>
          <w:lang w:val="en-GB"/>
        </w:rPr>
        <w:t xml:space="preserve">erger policies started with Austria and Sweden in the fifties: the </w:t>
      </w:r>
      <w:r w:rsidR="00676363" w:rsidRPr="009927E1">
        <w:rPr>
          <w:rFonts w:ascii="Times New Roman" w:hAnsi="Times New Roman" w:cs="Times New Roman"/>
          <w:color w:val="000000"/>
          <w:sz w:val="24"/>
          <w:szCs w:val="24"/>
          <w:lang w:val="en-GB"/>
        </w:rPr>
        <w:t>first</w:t>
      </w:r>
      <w:r w:rsidR="002C1962" w:rsidRPr="009927E1">
        <w:rPr>
          <w:rFonts w:ascii="Times New Roman" w:hAnsi="Times New Roman" w:cs="Times New Roman"/>
          <w:color w:val="000000"/>
          <w:sz w:val="24"/>
          <w:szCs w:val="24"/>
          <w:lang w:val="en-GB"/>
        </w:rPr>
        <w:t xml:space="preserve"> one reduced to half the number of local authorities, the latest divided them by more than eight. </w:t>
      </w:r>
      <w:r w:rsidRPr="009927E1">
        <w:rPr>
          <w:rFonts w:ascii="Times New Roman" w:hAnsi="Times New Roman" w:cs="Times New Roman"/>
          <w:color w:val="000000"/>
          <w:sz w:val="24"/>
          <w:szCs w:val="24"/>
          <w:lang w:val="en-GB"/>
        </w:rPr>
        <w:t>T</w:t>
      </w:r>
      <w:r w:rsidR="002C1962" w:rsidRPr="009927E1">
        <w:rPr>
          <w:rFonts w:ascii="Times New Roman" w:hAnsi="Times New Roman" w:cs="Times New Roman"/>
          <w:color w:val="000000"/>
          <w:sz w:val="24"/>
          <w:szCs w:val="24"/>
          <w:lang w:val="en-GB"/>
        </w:rPr>
        <w:t>he process continued rapidly in the sixties and seventies with other countries: Denmark divided the number of municipalities with five in 1970, West Germany also reduced the number in 1960s and 1970s, Belgium in 1975 (divided by four), Lithuania in 1994 (divided by ten), Greece in 1997 (divided by six).</w:t>
      </w:r>
      <w:r w:rsidR="009677B0" w:rsidRPr="009927E1">
        <w:rPr>
          <w:rFonts w:ascii="Times New Roman" w:hAnsi="Times New Roman" w:cs="Times New Roman"/>
          <w:color w:val="000000"/>
          <w:sz w:val="24"/>
          <w:szCs w:val="24"/>
          <w:lang w:val="en-GB"/>
        </w:rPr>
        <w:t xml:space="preserve"> </w:t>
      </w:r>
      <w:r w:rsidR="002C1962" w:rsidRPr="009927E1">
        <w:rPr>
          <w:rFonts w:ascii="Times New Roman" w:hAnsi="Times New Roman" w:cs="Times New Roman"/>
          <w:color w:val="000000"/>
          <w:sz w:val="24"/>
          <w:szCs w:val="24"/>
          <w:lang w:val="en-GB"/>
        </w:rPr>
        <w:t xml:space="preserve">More recently, Denmark reduced the number of municipalities from 271 to 98 in 2007, Latvia from 524 to 119 in 2009, </w:t>
      </w:r>
      <w:r w:rsidR="00002DF4" w:rsidRPr="009927E1">
        <w:rPr>
          <w:rFonts w:ascii="Times New Roman" w:hAnsi="Times New Roman" w:cs="Times New Roman"/>
          <w:color w:val="000000"/>
          <w:sz w:val="24"/>
          <w:szCs w:val="24"/>
          <w:lang w:val="en-GB"/>
        </w:rPr>
        <w:t>Turkey reduced the number from 3,225 to 2,950 in 2008 and again to 1,395 in 2014</w:t>
      </w:r>
      <w:r w:rsidR="002C1962" w:rsidRPr="009927E1">
        <w:rPr>
          <w:rFonts w:ascii="Times New Roman" w:hAnsi="Times New Roman" w:cs="Times New Roman"/>
          <w:color w:val="000000"/>
          <w:sz w:val="24"/>
          <w:szCs w:val="24"/>
          <w:lang w:val="en-GB"/>
        </w:rPr>
        <w:t>.</w:t>
      </w:r>
    </w:p>
    <w:p w14:paraId="56E582DE" w14:textId="4F26E416" w:rsidR="007E18E7" w:rsidRPr="009927E1" w:rsidRDefault="001160E1" w:rsidP="008528F8">
      <w:pPr>
        <w:suppressAutoHyphens/>
        <w:autoSpaceDE w:val="0"/>
        <w:autoSpaceDN w:val="0"/>
        <w:adjustRightInd w:val="0"/>
        <w:spacing w:after="0" w:line="360" w:lineRule="auto"/>
        <w:ind w:firstLine="283"/>
        <w:jc w:val="both"/>
        <w:textAlignment w:val="center"/>
        <w:rPr>
          <w:rFonts w:ascii="Times New Roman" w:hAnsi="Times New Roman"/>
          <w:sz w:val="24"/>
          <w:szCs w:val="24"/>
          <w:lang w:val="en-GB"/>
        </w:rPr>
      </w:pPr>
      <w:r w:rsidRPr="009927E1">
        <w:rPr>
          <w:rFonts w:ascii="Times New Roman" w:hAnsi="Times New Roman" w:cs="Times New Roman"/>
          <w:color w:val="000000"/>
          <w:sz w:val="24"/>
          <w:szCs w:val="24"/>
          <w:lang w:val="en-GB"/>
        </w:rPr>
        <w:t>On the other hand,</w:t>
      </w:r>
      <w:r w:rsidR="003C0155" w:rsidRPr="009927E1">
        <w:rPr>
          <w:rFonts w:ascii="Times New Roman" w:hAnsi="Times New Roman" w:cs="Times New Roman"/>
          <w:color w:val="000000"/>
          <w:sz w:val="24"/>
          <w:szCs w:val="24"/>
          <w:lang w:val="en-GB"/>
        </w:rPr>
        <w:t xml:space="preserve"> in the nineties,</w:t>
      </w:r>
      <w:r w:rsidRPr="009927E1">
        <w:rPr>
          <w:rFonts w:ascii="Times New Roman" w:hAnsi="Times New Roman" w:cs="Times New Roman"/>
          <w:color w:val="000000"/>
          <w:sz w:val="24"/>
          <w:szCs w:val="24"/>
          <w:lang w:val="en-GB"/>
        </w:rPr>
        <w:t xml:space="preserve"> in some Central and Eastern European countries </w:t>
      </w:r>
      <w:r w:rsidR="007B7628" w:rsidRPr="009927E1">
        <w:rPr>
          <w:rFonts w:ascii="Times New Roman" w:hAnsi="Times New Roman" w:cs="Times New Roman"/>
          <w:color w:val="000000"/>
          <w:sz w:val="24"/>
          <w:szCs w:val="24"/>
          <w:lang w:val="en-GB"/>
        </w:rPr>
        <w:t>can be</w:t>
      </w:r>
      <w:r w:rsidRPr="009927E1">
        <w:rPr>
          <w:rFonts w:ascii="Times New Roman" w:hAnsi="Times New Roman" w:cs="Times New Roman"/>
          <w:color w:val="000000"/>
          <w:sz w:val="24"/>
          <w:szCs w:val="24"/>
          <w:lang w:val="en-GB"/>
        </w:rPr>
        <w:t xml:space="preserve"> observed </w:t>
      </w:r>
      <w:r w:rsidR="00473B09">
        <w:rPr>
          <w:rFonts w:ascii="Times New Roman" w:hAnsi="Times New Roman" w:cs="Times New Roman"/>
          <w:color w:val="000000"/>
          <w:sz w:val="24"/>
          <w:szCs w:val="24"/>
          <w:lang w:val="en-GB"/>
        </w:rPr>
        <w:t xml:space="preserve">an </w:t>
      </w:r>
      <w:r w:rsidRPr="009927E1">
        <w:rPr>
          <w:rFonts w:ascii="Times New Roman" w:hAnsi="Times New Roman" w:cs="Times New Roman"/>
          <w:color w:val="000000"/>
          <w:sz w:val="24"/>
          <w:szCs w:val="24"/>
          <w:lang w:val="en-GB"/>
        </w:rPr>
        <w:t>opposite tendenc</w:t>
      </w:r>
      <w:r w:rsidR="00473B09">
        <w:rPr>
          <w:rFonts w:ascii="Times New Roman" w:hAnsi="Times New Roman" w:cs="Times New Roman"/>
          <w:color w:val="000000"/>
          <w:sz w:val="24"/>
          <w:szCs w:val="24"/>
          <w:lang w:val="en-GB"/>
        </w:rPr>
        <w:t>y</w:t>
      </w:r>
      <w:r w:rsidRPr="009927E1">
        <w:rPr>
          <w:rFonts w:ascii="Times New Roman" w:hAnsi="Times New Roman" w:cs="Times New Roman"/>
          <w:color w:val="000000"/>
          <w:sz w:val="24"/>
          <w:szCs w:val="24"/>
          <w:lang w:val="en-GB"/>
        </w:rPr>
        <w:t xml:space="preserve">, a down-scaling process. </w:t>
      </w:r>
      <w:r w:rsidRPr="009927E1">
        <w:rPr>
          <w:rFonts w:ascii="Times New Roman" w:hAnsi="Times New Roman"/>
          <w:sz w:val="24"/>
          <w:szCs w:val="24"/>
          <w:lang w:val="en-GB"/>
        </w:rPr>
        <w:t>Swianiewicz and Herbst (2002) shows an increases of nearly five times of the number of municipalities compared to 1989: for instance, in Croatia, 543 municipalities in 1998, compared to 115 in 1989 (an increase of 472%); in Macedonia, there are 123 municipalities in 1995, compared to 30 (410%); in Slovenia, in 2006, there were 210 municipalities, compared to 62 (339%); in Hungary, in 1992, there are 3,133 municipalities, compared to 1,368 (229%).</w:t>
      </w:r>
      <w:r w:rsidR="007E18E7" w:rsidRPr="009927E1">
        <w:rPr>
          <w:rFonts w:ascii="Times New Roman" w:hAnsi="Times New Roman"/>
          <w:sz w:val="24"/>
          <w:szCs w:val="24"/>
          <w:lang w:val="en-GB"/>
        </w:rPr>
        <w:t xml:space="preserve"> </w:t>
      </w:r>
      <w:r w:rsidR="008528F8" w:rsidRPr="009927E1">
        <w:rPr>
          <w:rFonts w:ascii="Times New Roman" w:hAnsi="Times New Roman"/>
          <w:sz w:val="24"/>
          <w:szCs w:val="24"/>
          <w:lang w:val="en-GB"/>
        </w:rPr>
        <w:t>Illner (1997) concludes that this spontaneous,</w:t>
      </w:r>
      <w:r w:rsidR="007B7628" w:rsidRPr="009927E1">
        <w:rPr>
          <w:rFonts w:ascii="Times New Roman" w:hAnsi="Times New Roman"/>
          <w:sz w:val="24"/>
          <w:szCs w:val="24"/>
          <w:lang w:val="en-GB"/>
        </w:rPr>
        <w:t xml:space="preserve"> </w:t>
      </w:r>
      <w:r w:rsidR="008528F8" w:rsidRPr="009927E1">
        <w:rPr>
          <w:rFonts w:ascii="Times New Roman" w:hAnsi="Times New Roman"/>
          <w:sz w:val="24"/>
          <w:szCs w:val="24"/>
          <w:lang w:val="en-GB"/>
        </w:rPr>
        <w:t xml:space="preserve">politically determined fragmentation, </w:t>
      </w:r>
      <w:r w:rsidR="007B7628" w:rsidRPr="009927E1">
        <w:rPr>
          <w:rFonts w:ascii="Times New Roman" w:hAnsi="Times New Roman"/>
          <w:sz w:val="24"/>
          <w:szCs w:val="24"/>
          <w:lang w:val="en-GB"/>
        </w:rPr>
        <w:t>was</w:t>
      </w:r>
      <w:r w:rsidR="008528F8" w:rsidRPr="009927E1">
        <w:rPr>
          <w:rFonts w:ascii="Times New Roman" w:hAnsi="Times New Roman"/>
          <w:sz w:val="24"/>
          <w:szCs w:val="24"/>
          <w:lang w:val="en-GB"/>
        </w:rPr>
        <w:t xml:space="preserve"> the answer of the local communities to the forced consolidation</w:t>
      </w:r>
      <w:r w:rsidR="00473B09">
        <w:rPr>
          <w:rFonts w:ascii="Times New Roman" w:hAnsi="Times New Roman"/>
          <w:sz w:val="24"/>
          <w:szCs w:val="24"/>
          <w:lang w:val="en-GB"/>
        </w:rPr>
        <w:t>s</w:t>
      </w:r>
      <w:r w:rsidR="008528F8" w:rsidRPr="009927E1">
        <w:rPr>
          <w:rFonts w:ascii="Times New Roman" w:hAnsi="Times New Roman"/>
          <w:sz w:val="24"/>
          <w:szCs w:val="24"/>
          <w:lang w:val="en-GB"/>
        </w:rPr>
        <w:t xml:space="preserve"> during the Communist period and that municipalities in the region deal either with an insufficient or with an excess of decentralization, both having negative effects.</w:t>
      </w:r>
    </w:p>
    <w:p w14:paraId="57F066E1" w14:textId="13C0874B" w:rsidR="008528F8" w:rsidRPr="009927E1" w:rsidRDefault="008528F8" w:rsidP="008528F8">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Romania followed a similar path </w:t>
      </w:r>
      <w:r w:rsidR="003C0155" w:rsidRPr="009927E1">
        <w:rPr>
          <w:rFonts w:ascii="Times New Roman" w:hAnsi="Times New Roman" w:cs="Times New Roman"/>
          <w:color w:val="000000"/>
          <w:sz w:val="24"/>
          <w:szCs w:val="24"/>
          <w:lang w:val="en-GB"/>
        </w:rPr>
        <w:t>with</w:t>
      </w:r>
      <w:r w:rsidRPr="009927E1">
        <w:rPr>
          <w:rFonts w:ascii="Times New Roman" w:hAnsi="Times New Roman" w:cs="Times New Roman"/>
          <w:color w:val="000000"/>
          <w:sz w:val="24"/>
          <w:szCs w:val="24"/>
          <w:lang w:val="en-GB"/>
        </w:rPr>
        <w:t xml:space="preserve"> countries from our region: after a decade of pressure in the direction of urbanization and consolidation in the communist regime, the post-revolution government</w:t>
      </w:r>
      <w:r w:rsidR="006A4A8E" w:rsidRPr="009927E1">
        <w:rPr>
          <w:rFonts w:ascii="Times New Roman" w:hAnsi="Times New Roman" w:cs="Times New Roman"/>
          <w:color w:val="000000"/>
          <w:sz w:val="24"/>
          <w:szCs w:val="24"/>
          <w:lang w:val="en-GB"/>
        </w:rPr>
        <w:t>s</w:t>
      </w:r>
      <w:r w:rsidRPr="009927E1">
        <w:rPr>
          <w:rFonts w:ascii="Times New Roman" w:hAnsi="Times New Roman" w:cs="Times New Roman"/>
          <w:color w:val="000000"/>
          <w:sz w:val="24"/>
          <w:szCs w:val="24"/>
          <w:lang w:val="en-GB"/>
        </w:rPr>
        <w:t xml:space="preserve"> wanted to repair the communism abuses towards local communities</w:t>
      </w:r>
      <w:r w:rsidR="00EE389E" w:rsidRPr="009927E1">
        <w:rPr>
          <w:rFonts w:ascii="Times New Roman" w:hAnsi="Times New Roman" w:cs="Times New Roman"/>
          <w:color w:val="000000"/>
          <w:sz w:val="24"/>
          <w:szCs w:val="24"/>
          <w:lang w:val="en-GB"/>
        </w:rPr>
        <w:t>.</w:t>
      </w:r>
      <w:r w:rsidR="007E18E7" w:rsidRPr="009927E1">
        <w:rPr>
          <w:rFonts w:ascii="Times New Roman" w:hAnsi="Times New Roman" w:cs="Times New Roman"/>
          <w:color w:val="000000"/>
          <w:sz w:val="24"/>
          <w:szCs w:val="24"/>
          <w:lang w:val="en-GB"/>
        </w:rPr>
        <w:t xml:space="preserve"> </w:t>
      </w:r>
      <w:r w:rsidR="006A4A8E" w:rsidRPr="009927E1">
        <w:rPr>
          <w:rFonts w:ascii="Times New Roman" w:hAnsi="Times New Roman" w:cs="Times New Roman"/>
          <w:i/>
          <w:iCs/>
          <w:color w:val="000000"/>
          <w:sz w:val="24"/>
          <w:szCs w:val="24"/>
          <w:lang w:val="en-GB"/>
        </w:rPr>
        <w:t>Figure 1</w:t>
      </w:r>
      <w:r w:rsidR="006A4A8E" w:rsidRPr="009927E1">
        <w:rPr>
          <w:rFonts w:ascii="Times New Roman" w:hAnsi="Times New Roman" w:cs="Times New Roman"/>
          <w:color w:val="000000"/>
          <w:sz w:val="24"/>
          <w:szCs w:val="24"/>
          <w:lang w:val="en-GB"/>
        </w:rPr>
        <w:t xml:space="preserve"> shows the d</w:t>
      </w:r>
      <w:r w:rsidR="00D20100" w:rsidRPr="009927E1">
        <w:rPr>
          <w:rFonts w:ascii="Times New Roman" w:hAnsi="Times New Roman" w:cs="Times New Roman"/>
          <w:color w:val="000000"/>
          <w:sz w:val="24"/>
          <w:szCs w:val="24"/>
          <w:lang w:val="en-GB"/>
        </w:rPr>
        <w:t>own</w:t>
      </w:r>
      <w:r w:rsidR="006A4A8E" w:rsidRPr="009927E1">
        <w:rPr>
          <w:rFonts w:ascii="Times New Roman" w:hAnsi="Times New Roman" w:cs="Times New Roman"/>
          <w:color w:val="000000"/>
          <w:sz w:val="24"/>
          <w:szCs w:val="24"/>
          <w:lang w:val="en-GB"/>
        </w:rPr>
        <w:t xml:space="preserve">-scaling process of </w:t>
      </w:r>
      <w:r w:rsidR="00EE389E" w:rsidRPr="009927E1">
        <w:rPr>
          <w:rFonts w:ascii="Times New Roman" w:hAnsi="Times New Roman" w:cs="Times New Roman"/>
          <w:color w:val="000000"/>
          <w:sz w:val="24"/>
          <w:szCs w:val="24"/>
          <w:lang w:val="en-GB"/>
        </w:rPr>
        <w:t xml:space="preserve">Romanian </w:t>
      </w:r>
      <w:r w:rsidR="006A4A8E" w:rsidRPr="009927E1">
        <w:rPr>
          <w:rFonts w:ascii="Times New Roman" w:hAnsi="Times New Roman" w:cs="Times New Roman"/>
          <w:color w:val="000000"/>
          <w:sz w:val="24"/>
          <w:szCs w:val="24"/>
          <w:lang w:val="en-GB"/>
        </w:rPr>
        <w:t>municipalities after 1990</w:t>
      </w:r>
      <w:r w:rsidR="00D272CF" w:rsidRPr="009927E1">
        <w:rPr>
          <w:rFonts w:ascii="Times New Roman" w:hAnsi="Times New Roman" w:cs="Times New Roman"/>
          <w:color w:val="000000"/>
          <w:sz w:val="24"/>
          <w:szCs w:val="24"/>
          <w:lang w:val="en-GB"/>
        </w:rPr>
        <w:t>, that increase</w:t>
      </w:r>
      <w:r w:rsidR="007E18E7" w:rsidRPr="009927E1">
        <w:rPr>
          <w:rFonts w:ascii="Times New Roman" w:hAnsi="Times New Roman" w:cs="Times New Roman"/>
          <w:color w:val="000000"/>
          <w:sz w:val="24"/>
          <w:szCs w:val="24"/>
          <w:lang w:val="en-GB"/>
        </w:rPr>
        <w:t>d the number</w:t>
      </w:r>
      <w:r w:rsidR="00D272CF" w:rsidRPr="009927E1">
        <w:rPr>
          <w:rFonts w:ascii="Times New Roman" w:hAnsi="Times New Roman" w:cs="Times New Roman"/>
          <w:color w:val="000000"/>
          <w:sz w:val="24"/>
          <w:szCs w:val="24"/>
          <w:lang w:val="en-GB"/>
        </w:rPr>
        <w:t xml:space="preserve"> of municipalities </w:t>
      </w:r>
      <w:r w:rsidR="007E18E7" w:rsidRPr="009927E1">
        <w:rPr>
          <w:rFonts w:ascii="Times New Roman" w:hAnsi="Times New Roman" w:cs="Times New Roman"/>
          <w:color w:val="000000"/>
          <w:sz w:val="24"/>
          <w:szCs w:val="24"/>
          <w:lang w:val="en-GB"/>
        </w:rPr>
        <w:t>with</w:t>
      </w:r>
      <w:r w:rsidR="00D272CF" w:rsidRPr="009927E1">
        <w:rPr>
          <w:rFonts w:ascii="Times New Roman" w:hAnsi="Times New Roman" w:cs="Times New Roman"/>
          <w:color w:val="000000"/>
          <w:sz w:val="24"/>
          <w:szCs w:val="24"/>
          <w:lang w:val="en-GB"/>
        </w:rPr>
        <w:t xml:space="preserve"> almost 10%:</w:t>
      </w:r>
    </w:p>
    <w:p w14:paraId="12311951" w14:textId="1C8961F1" w:rsidR="00EE389E" w:rsidRPr="009927E1" w:rsidRDefault="00EE389E" w:rsidP="005F5C3C">
      <w:pPr>
        <w:suppressAutoHyphens/>
        <w:autoSpaceDE w:val="0"/>
        <w:autoSpaceDN w:val="0"/>
        <w:adjustRightInd w:val="0"/>
        <w:spacing w:after="0" w:line="240" w:lineRule="auto"/>
        <w:jc w:val="both"/>
        <w:textAlignment w:val="center"/>
        <w:rPr>
          <w:rFonts w:ascii="Times New Roman" w:hAnsi="Times New Roman" w:cs="Times New Roman"/>
          <w:color w:val="000000"/>
          <w:lang w:val="en-GB"/>
        </w:rPr>
      </w:pPr>
      <w:r w:rsidRPr="009927E1">
        <w:rPr>
          <w:rFonts w:ascii="Times New Roman" w:hAnsi="Times New Roman" w:cs="Times New Roman"/>
          <w:i/>
          <w:iCs/>
          <w:color w:val="000000"/>
          <w:lang w:val="en-GB"/>
        </w:rPr>
        <w:t>Figure 1</w:t>
      </w:r>
      <w:r w:rsidRPr="009927E1">
        <w:rPr>
          <w:rFonts w:ascii="Times New Roman" w:hAnsi="Times New Roman" w:cs="Times New Roman"/>
          <w:color w:val="000000"/>
          <w:lang w:val="en-GB"/>
        </w:rPr>
        <w:t xml:space="preserve">. Evolution of Romanian municipalities </w:t>
      </w:r>
      <w:r w:rsidR="007A3502" w:rsidRPr="009927E1">
        <w:rPr>
          <w:rFonts w:ascii="Times New Roman" w:hAnsi="Times New Roman" w:cs="Times New Roman"/>
          <w:color w:val="000000"/>
          <w:lang w:val="en-GB"/>
        </w:rPr>
        <w:t>(</w:t>
      </w:r>
      <w:r w:rsidRPr="009927E1">
        <w:rPr>
          <w:rFonts w:ascii="Times New Roman" w:hAnsi="Times New Roman" w:cs="Times New Roman"/>
          <w:color w:val="000000"/>
          <w:lang w:val="en-GB"/>
        </w:rPr>
        <w:t>1990-2023</w:t>
      </w:r>
      <w:r w:rsidR="007A3502" w:rsidRPr="009927E1">
        <w:rPr>
          <w:rFonts w:ascii="Times New Roman" w:hAnsi="Times New Roman" w:cs="Times New Roman"/>
          <w:color w:val="000000"/>
          <w:lang w:val="en-GB"/>
        </w:rPr>
        <w:t>)</w:t>
      </w:r>
    </w:p>
    <w:p w14:paraId="00A4E10B" w14:textId="77777777" w:rsidR="00EE389E" w:rsidRPr="009927E1" w:rsidRDefault="00EE389E" w:rsidP="001A1808">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noProof/>
          <w:color w:val="000000"/>
          <w:sz w:val="24"/>
          <w:szCs w:val="24"/>
          <w:lang w:val="en-GB"/>
        </w:rPr>
        <w:drawing>
          <wp:inline distT="0" distB="0" distL="0" distR="0" wp14:anchorId="27F2561A" wp14:editId="0EFFE5B0">
            <wp:extent cx="5801995" cy="3200400"/>
            <wp:effectExtent l="0" t="0" r="8255" b="0"/>
            <wp:docPr id="1914550873"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5A0157" w14:textId="190AF606" w:rsidR="00EE389E" w:rsidRPr="009927E1" w:rsidRDefault="00EE389E" w:rsidP="005F5C3C">
      <w:pPr>
        <w:suppressAutoHyphens/>
        <w:autoSpaceDE w:val="0"/>
        <w:autoSpaceDN w:val="0"/>
        <w:adjustRightInd w:val="0"/>
        <w:spacing w:after="0" w:line="360" w:lineRule="auto"/>
        <w:jc w:val="both"/>
        <w:textAlignment w:val="center"/>
        <w:rPr>
          <w:rFonts w:ascii="Times New Roman" w:hAnsi="Times New Roman" w:cs="Times New Roman"/>
          <w:color w:val="000000"/>
          <w:lang w:val="en-GB"/>
        </w:rPr>
      </w:pPr>
      <w:r w:rsidRPr="009927E1">
        <w:rPr>
          <w:rFonts w:ascii="Times New Roman" w:hAnsi="Times New Roman" w:cs="Times New Roman"/>
          <w:i/>
          <w:iCs/>
          <w:color w:val="000000"/>
          <w:lang w:val="en-GB"/>
        </w:rPr>
        <w:t>Source</w:t>
      </w:r>
      <w:r w:rsidRPr="009927E1">
        <w:rPr>
          <w:rFonts w:ascii="Times New Roman" w:hAnsi="Times New Roman" w:cs="Times New Roman"/>
          <w:color w:val="000000"/>
          <w:lang w:val="en-GB"/>
        </w:rPr>
        <w:t>: T</w:t>
      </w:r>
      <w:r w:rsidR="00D46684" w:rsidRPr="009927E1">
        <w:rPr>
          <w:rFonts w:ascii="Times New Roman" w:hAnsi="Times New Roman" w:cs="Times New Roman"/>
          <w:color w:val="000000"/>
          <w:lang w:val="en-GB"/>
        </w:rPr>
        <w:t>EMPO online, ADM101A</w:t>
      </w:r>
      <w:r w:rsidR="00351C75" w:rsidRPr="009927E1">
        <w:rPr>
          <w:rFonts w:ascii="Times New Roman" w:hAnsi="Times New Roman" w:cs="Times New Roman"/>
          <w:color w:val="000000"/>
          <w:lang w:val="en-GB"/>
        </w:rPr>
        <w:t>.</w:t>
      </w:r>
    </w:p>
    <w:p w14:paraId="28803CCC" w14:textId="70038D93" w:rsidR="00810236" w:rsidRDefault="002B2B85" w:rsidP="00D61942">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D20100" w:rsidRPr="009927E1">
        <w:rPr>
          <w:rFonts w:ascii="Times New Roman" w:hAnsi="Times New Roman" w:cs="Times New Roman"/>
          <w:color w:val="000000"/>
          <w:sz w:val="24"/>
          <w:szCs w:val="24"/>
          <w:lang w:val="en-GB"/>
        </w:rPr>
        <w:t xml:space="preserve"> first </w:t>
      </w:r>
      <w:r w:rsidR="007B7628" w:rsidRPr="009927E1">
        <w:rPr>
          <w:rFonts w:ascii="Times New Roman" w:hAnsi="Times New Roman" w:cs="Times New Roman"/>
          <w:color w:val="000000"/>
          <w:sz w:val="24"/>
          <w:szCs w:val="24"/>
          <w:lang w:val="en-GB"/>
        </w:rPr>
        <w:t>trend observed</w:t>
      </w:r>
      <w:r w:rsidR="00D20100" w:rsidRPr="009927E1">
        <w:rPr>
          <w:rFonts w:ascii="Times New Roman" w:hAnsi="Times New Roman" w:cs="Times New Roman"/>
          <w:color w:val="000000"/>
          <w:sz w:val="24"/>
          <w:szCs w:val="24"/>
          <w:lang w:val="en-GB"/>
        </w:rPr>
        <w:t xml:space="preserve"> </w:t>
      </w:r>
      <w:r w:rsidR="00267084" w:rsidRPr="009927E1">
        <w:rPr>
          <w:rFonts w:ascii="Times New Roman" w:hAnsi="Times New Roman" w:cs="Times New Roman"/>
          <w:color w:val="000000"/>
          <w:sz w:val="24"/>
          <w:szCs w:val="24"/>
          <w:lang w:val="en-GB"/>
        </w:rPr>
        <w:t>refers to the evolution of local authorities from rural areas</w:t>
      </w:r>
      <w:r w:rsidR="007E18E7" w:rsidRPr="009927E1">
        <w:rPr>
          <w:rFonts w:ascii="Times New Roman" w:hAnsi="Times New Roman" w:cs="Times New Roman"/>
          <w:color w:val="000000"/>
          <w:sz w:val="24"/>
          <w:szCs w:val="24"/>
          <w:lang w:val="en-GB"/>
        </w:rPr>
        <w:t xml:space="preserve">: we had </w:t>
      </w:r>
      <w:r w:rsidR="00AA76FC" w:rsidRPr="009927E1">
        <w:rPr>
          <w:rFonts w:ascii="Times New Roman" w:hAnsi="Times New Roman" w:cs="Times New Roman"/>
          <w:color w:val="000000"/>
          <w:sz w:val="24"/>
          <w:szCs w:val="24"/>
          <w:lang w:val="en-GB"/>
        </w:rPr>
        <w:t>a down-scaling process that increased the number of communes from 2,688</w:t>
      </w:r>
      <w:r w:rsidR="00267084" w:rsidRPr="009927E1">
        <w:rPr>
          <w:rFonts w:ascii="Times New Roman" w:hAnsi="Times New Roman" w:cs="Times New Roman"/>
          <w:color w:val="000000"/>
          <w:sz w:val="24"/>
          <w:szCs w:val="24"/>
          <w:lang w:val="en-GB"/>
        </w:rPr>
        <w:t xml:space="preserve"> in 1990</w:t>
      </w:r>
      <w:r w:rsidR="00AA76FC" w:rsidRPr="009927E1">
        <w:rPr>
          <w:rFonts w:ascii="Times New Roman" w:hAnsi="Times New Roman" w:cs="Times New Roman"/>
          <w:color w:val="000000"/>
          <w:sz w:val="24"/>
          <w:szCs w:val="24"/>
          <w:lang w:val="en-GB"/>
        </w:rPr>
        <w:t xml:space="preserve"> to 2,862 at this moment. T</w:t>
      </w:r>
      <w:r w:rsidR="00D20100" w:rsidRPr="009927E1">
        <w:rPr>
          <w:rFonts w:ascii="Times New Roman" w:hAnsi="Times New Roman" w:cs="Times New Roman"/>
          <w:color w:val="000000"/>
          <w:sz w:val="24"/>
          <w:szCs w:val="24"/>
          <w:lang w:val="en-GB"/>
        </w:rPr>
        <w:t xml:space="preserve">he peak of </w:t>
      </w:r>
      <w:r w:rsidR="001C4B16" w:rsidRPr="009927E1">
        <w:rPr>
          <w:rFonts w:ascii="Times New Roman" w:hAnsi="Times New Roman" w:cs="Times New Roman"/>
          <w:color w:val="000000"/>
          <w:sz w:val="24"/>
          <w:szCs w:val="24"/>
          <w:lang w:val="en-GB"/>
        </w:rPr>
        <w:t>the</w:t>
      </w:r>
      <w:r w:rsidR="00D20100" w:rsidRPr="009927E1">
        <w:rPr>
          <w:rFonts w:ascii="Times New Roman" w:hAnsi="Times New Roman" w:cs="Times New Roman"/>
          <w:color w:val="000000"/>
          <w:sz w:val="24"/>
          <w:szCs w:val="24"/>
          <w:lang w:val="en-GB"/>
        </w:rPr>
        <w:t xml:space="preserve"> process was </w:t>
      </w:r>
      <w:r w:rsidR="00AA76FC" w:rsidRPr="009927E1">
        <w:rPr>
          <w:rFonts w:ascii="Times New Roman" w:hAnsi="Times New Roman" w:cs="Times New Roman"/>
          <w:color w:val="000000"/>
          <w:sz w:val="24"/>
          <w:szCs w:val="24"/>
          <w:lang w:val="en-GB"/>
        </w:rPr>
        <w:t>between 2000-</w:t>
      </w:r>
      <w:r w:rsidR="00D20100" w:rsidRPr="009927E1">
        <w:rPr>
          <w:rFonts w:ascii="Times New Roman" w:hAnsi="Times New Roman" w:cs="Times New Roman"/>
          <w:color w:val="000000"/>
          <w:sz w:val="24"/>
          <w:szCs w:val="24"/>
          <w:lang w:val="en-GB"/>
        </w:rPr>
        <w:t>2004</w:t>
      </w:r>
      <w:r w:rsidR="00AA76FC" w:rsidRPr="009927E1">
        <w:rPr>
          <w:rFonts w:ascii="Times New Roman" w:hAnsi="Times New Roman" w:cs="Times New Roman"/>
          <w:color w:val="000000"/>
          <w:sz w:val="24"/>
          <w:szCs w:val="24"/>
          <w:lang w:val="en-GB"/>
        </w:rPr>
        <w:t>: the number of communes increased from 2,686 in 2001 to 2,851 in 2005</w:t>
      </w:r>
      <w:r w:rsidR="00267084" w:rsidRPr="009927E1">
        <w:rPr>
          <w:rFonts w:ascii="Times New Roman" w:hAnsi="Times New Roman" w:cs="Times New Roman"/>
          <w:color w:val="000000"/>
          <w:sz w:val="24"/>
          <w:szCs w:val="24"/>
          <w:lang w:val="en-GB"/>
        </w:rPr>
        <w:t>.</w:t>
      </w:r>
      <w:r w:rsidR="00AA76FC" w:rsidRPr="009927E1">
        <w:rPr>
          <w:rFonts w:ascii="Times New Roman" w:hAnsi="Times New Roman" w:cs="Times New Roman"/>
          <w:color w:val="000000"/>
          <w:sz w:val="24"/>
          <w:szCs w:val="24"/>
          <w:lang w:val="en-GB"/>
        </w:rPr>
        <w:t xml:space="preserve"> </w:t>
      </w:r>
      <w:r w:rsidR="00267084" w:rsidRPr="009927E1">
        <w:rPr>
          <w:rFonts w:ascii="Times New Roman" w:hAnsi="Times New Roman" w:cs="Times New Roman"/>
          <w:color w:val="000000"/>
          <w:sz w:val="24"/>
          <w:szCs w:val="24"/>
          <w:lang w:val="en-GB"/>
        </w:rPr>
        <w:t>T</w:t>
      </w:r>
      <w:r w:rsidR="00D20100" w:rsidRPr="009927E1">
        <w:rPr>
          <w:rFonts w:ascii="Times New Roman" w:hAnsi="Times New Roman" w:cs="Times New Roman"/>
          <w:color w:val="000000"/>
          <w:sz w:val="24"/>
          <w:szCs w:val="24"/>
          <w:lang w:val="en-GB"/>
        </w:rPr>
        <w:t>he explanation is mainly political: social democrats, ruling party at that moment, wanted to offer a compensation to their local clienteles</w:t>
      </w:r>
      <w:r w:rsidR="007E18E7" w:rsidRPr="009927E1">
        <w:rPr>
          <w:rFonts w:ascii="Times New Roman" w:hAnsi="Times New Roman" w:cs="Times New Roman"/>
          <w:color w:val="000000"/>
          <w:sz w:val="24"/>
          <w:szCs w:val="24"/>
          <w:lang w:val="en-GB"/>
        </w:rPr>
        <w:t>, especially from rural areas</w:t>
      </w:r>
      <w:r w:rsidR="00D20100" w:rsidRPr="009927E1">
        <w:rPr>
          <w:rFonts w:ascii="Times New Roman" w:hAnsi="Times New Roman" w:cs="Times New Roman"/>
          <w:color w:val="000000"/>
          <w:sz w:val="24"/>
          <w:szCs w:val="24"/>
          <w:lang w:val="en-GB"/>
        </w:rPr>
        <w:t>.</w:t>
      </w:r>
    </w:p>
    <w:p w14:paraId="7D3A8A14" w14:textId="31D1295B" w:rsidR="007E18E7" w:rsidRPr="009927E1" w:rsidRDefault="00AA76FC" w:rsidP="00D61942">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A second trend was in the direction of urbanization: some communes became towns, and a significative number of towns were transformed into cities (the number of cities doubled, from 56 in 1990, to 103 in 20</w:t>
      </w:r>
      <w:r w:rsidR="00E53980" w:rsidRPr="009927E1">
        <w:rPr>
          <w:rFonts w:ascii="Times New Roman" w:hAnsi="Times New Roman" w:cs="Times New Roman"/>
          <w:color w:val="000000"/>
          <w:sz w:val="24"/>
          <w:szCs w:val="24"/>
          <w:lang w:val="en-GB"/>
        </w:rPr>
        <w:t>0</w:t>
      </w:r>
      <w:r w:rsidRPr="009927E1">
        <w:rPr>
          <w:rFonts w:ascii="Times New Roman" w:hAnsi="Times New Roman" w:cs="Times New Roman"/>
          <w:color w:val="000000"/>
          <w:sz w:val="24"/>
          <w:szCs w:val="24"/>
          <w:lang w:val="en-GB"/>
        </w:rPr>
        <w:t>3</w:t>
      </w:r>
      <w:r w:rsidR="00E53980" w:rsidRPr="009927E1">
        <w:rPr>
          <w:rFonts w:ascii="Times New Roman" w:hAnsi="Times New Roman" w:cs="Times New Roman"/>
          <w:color w:val="000000"/>
          <w:sz w:val="24"/>
          <w:szCs w:val="24"/>
          <w:lang w:val="en-GB"/>
        </w:rPr>
        <w:t>, number maintained till today</w:t>
      </w:r>
      <w:r w:rsidRPr="009927E1">
        <w:rPr>
          <w:rFonts w:ascii="Times New Roman" w:hAnsi="Times New Roman" w:cs="Times New Roman"/>
          <w:color w:val="000000"/>
          <w:sz w:val="24"/>
          <w:szCs w:val="24"/>
          <w:lang w:val="en-GB"/>
        </w:rPr>
        <w:t>).</w:t>
      </w:r>
      <w:r w:rsidR="001C4B16" w:rsidRPr="009927E1">
        <w:rPr>
          <w:rFonts w:ascii="Times New Roman" w:hAnsi="Times New Roman" w:cs="Times New Roman"/>
          <w:color w:val="000000"/>
          <w:sz w:val="24"/>
          <w:szCs w:val="24"/>
          <w:lang w:val="en-GB"/>
        </w:rPr>
        <w:t xml:space="preserve"> The process was, in some cases, artificial: that is the reason why,</w:t>
      </w:r>
      <w:r w:rsidR="00FE6874" w:rsidRPr="009927E1">
        <w:rPr>
          <w:rFonts w:ascii="Times New Roman" w:hAnsi="Times New Roman" w:cs="Times New Roman"/>
          <w:color w:val="000000"/>
          <w:sz w:val="24"/>
          <w:szCs w:val="24"/>
          <w:lang w:val="en-GB"/>
        </w:rPr>
        <w:t xml:space="preserve"> for instance,</w:t>
      </w:r>
      <w:r w:rsidR="001C4B16" w:rsidRPr="009927E1">
        <w:rPr>
          <w:rFonts w:ascii="Times New Roman" w:hAnsi="Times New Roman" w:cs="Times New Roman"/>
          <w:color w:val="000000"/>
          <w:sz w:val="24"/>
          <w:szCs w:val="24"/>
          <w:lang w:val="en-GB"/>
        </w:rPr>
        <w:t xml:space="preserve"> Băneasa commune (Constanța county), was declared town and after several years </w:t>
      </w:r>
      <w:r w:rsidR="002B2B85">
        <w:rPr>
          <w:rFonts w:ascii="Times New Roman" w:hAnsi="Times New Roman" w:cs="Times New Roman"/>
          <w:color w:val="000000"/>
          <w:sz w:val="24"/>
          <w:szCs w:val="24"/>
          <w:lang w:val="en-GB"/>
        </w:rPr>
        <w:t xml:space="preserve">decided to </w:t>
      </w:r>
      <w:r w:rsidR="001C4B16" w:rsidRPr="009927E1">
        <w:rPr>
          <w:rFonts w:ascii="Times New Roman" w:hAnsi="Times New Roman" w:cs="Times New Roman"/>
          <w:color w:val="000000"/>
          <w:sz w:val="24"/>
          <w:szCs w:val="24"/>
          <w:lang w:val="en-GB"/>
        </w:rPr>
        <w:t>rebec</w:t>
      </w:r>
      <w:r w:rsidR="002B2B85">
        <w:rPr>
          <w:rFonts w:ascii="Times New Roman" w:hAnsi="Times New Roman" w:cs="Times New Roman"/>
          <w:color w:val="000000"/>
          <w:sz w:val="24"/>
          <w:szCs w:val="24"/>
          <w:lang w:val="en-GB"/>
        </w:rPr>
        <w:t>o</w:t>
      </w:r>
      <w:r w:rsidR="001C4B16" w:rsidRPr="009927E1">
        <w:rPr>
          <w:rFonts w:ascii="Times New Roman" w:hAnsi="Times New Roman" w:cs="Times New Roman"/>
          <w:color w:val="000000"/>
          <w:sz w:val="24"/>
          <w:szCs w:val="24"/>
          <w:lang w:val="en-GB"/>
        </w:rPr>
        <w:t xml:space="preserve">me </w:t>
      </w:r>
      <w:r w:rsidR="002B2B85">
        <w:rPr>
          <w:rFonts w:ascii="Times New Roman" w:hAnsi="Times New Roman" w:cs="Times New Roman"/>
          <w:color w:val="000000"/>
          <w:sz w:val="24"/>
          <w:szCs w:val="24"/>
          <w:lang w:val="en-GB"/>
        </w:rPr>
        <w:t xml:space="preserve">a </w:t>
      </w:r>
      <w:r w:rsidR="001C4B16" w:rsidRPr="009927E1">
        <w:rPr>
          <w:rFonts w:ascii="Times New Roman" w:hAnsi="Times New Roman" w:cs="Times New Roman"/>
          <w:color w:val="000000"/>
          <w:sz w:val="24"/>
          <w:szCs w:val="24"/>
          <w:lang w:val="en-GB"/>
        </w:rPr>
        <w:t>commune.</w:t>
      </w:r>
      <w:r w:rsidR="00E52CF3" w:rsidRPr="009927E1">
        <w:rPr>
          <w:rFonts w:ascii="Times New Roman" w:hAnsi="Times New Roman" w:cs="Times New Roman"/>
          <w:color w:val="000000"/>
          <w:sz w:val="24"/>
          <w:szCs w:val="24"/>
          <w:lang w:val="en-GB"/>
        </w:rPr>
        <w:t xml:space="preserve"> That is also the reason why some small towns or cities have similar financial problems like rural municipalities, with difficulties in providing </w:t>
      </w:r>
      <w:r w:rsidR="001B5438">
        <w:rPr>
          <w:rFonts w:ascii="Times New Roman" w:hAnsi="Times New Roman" w:cs="Times New Roman"/>
          <w:color w:val="000000"/>
          <w:sz w:val="24"/>
          <w:szCs w:val="24"/>
          <w:lang w:val="en-GB"/>
        </w:rPr>
        <w:t xml:space="preserve">good </w:t>
      </w:r>
      <w:r w:rsidR="00E52CF3" w:rsidRPr="009927E1">
        <w:rPr>
          <w:rFonts w:ascii="Times New Roman" w:hAnsi="Times New Roman" w:cs="Times New Roman"/>
          <w:color w:val="000000"/>
          <w:sz w:val="24"/>
          <w:szCs w:val="24"/>
          <w:lang w:val="en-GB"/>
        </w:rPr>
        <w:t xml:space="preserve">quality public services. </w:t>
      </w:r>
    </w:p>
    <w:p w14:paraId="7BE667A3" w14:textId="02FF1245" w:rsidR="00FE6874" w:rsidRPr="009927E1" w:rsidRDefault="00FE6874" w:rsidP="00D2010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Regarding the situation from our region, recent studies (Baldersheim and Rose 2010; Swianiewicz 2010a; Swianiewicz 2010b) consider </w:t>
      </w:r>
      <w:r w:rsidRPr="009927E1">
        <w:rPr>
          <w:rFonts w:ascii="Times New Roman" w:hAnsi="Times New Roman"/>
          <w:sz w:val="24"/>
          <w:szCs w:val="24"/>
          <w:lang w:val="en-GB"/>
        </w:rPr>
        <w:t>that consolidation of the small municipalities should have the role to prevent inefficiency, overlapping or unjustified multiplication of some services. The small municipalities provide services to a limited number of persons, which means that they deal with an increased cost per inhabitant, especially</w:t>
      </w:r>
      <w:r w:rsidRPr="009927E1">
        <w:rPr>
          <w:rFonts w:ascii="Times New Roman" w:hAnsi="Times New Roman" w:cs="Times New Roman"/>
          <w:color w:val="000000"/>
          <w:sz w:val="24"/>
          <w:szCs w:val="24"/>
          <w:lang w:val="en-GB"/>
        </w:rPr>
        <w:t xml:space="preserve"> for some services with high fixed costs</w:t>
      </w:r>
      <w:r w:rsidRPr="009927E1">
        <w:rPr>
          <w:rFonts w:ascii="Times New Roman" w:hAnsi="Times New Roman"/>
          <w:sz w:val="24"/>
          <w:szCs w:val="24"/>
          <w:lang w:val="en-GB"/>
        </w:rPr>
        <w:t xml:space="preserve">. In some cases, they </w:t>
      </w:r>
      <w:r w:rsidRPr="009927E1">
        <w:rPr>
          <w:rFonts w:ascii="Times New Roman" w:hAnsi="Times New Roman" w:cs="Times New Roman"/>
          <w:color w:val="000000"/>
          <w:sz w:val="24"/>
          <w:szCs w:val="24"/>
          <w:lang w:val="en-GB"/>
        </w:rPr>
        <w:t>lack human, technical and/or financial resources and that determine some external effects (citizens and businesses may shop around the neighbouring jurisdictions, increas</w:t>
      </w:r>
      <w:r w:rsidR="000177BC">
        <w:rPr>
          <w:rFonts w:ascii="Times New Roman" w:hAnsi="Times New Roman" w:cs="Times New Roman"/>
          <w:color w:val="000000"/>
          <w:sz w:val="24"/>
          <w:szCs w:val="24"/>
          <w:lang w:val="en-GB"/>
        </w:rPr>
        <w:t>ed</w:t>
      </w:r>
      <w:r w:rsidRPr="009927E1">
        <w:rPr>
          <w:rFonts w:ascii="Times New Roman" w:hAnsi="Times New Roman" w:cs="Times New Roman"/>
          <w:color w:val="000000"/>
          <w:sz w:val="24"/>
          <w:szCs w:val="24"/>
          <w:lang w:val="en-GB"/>
        </w:rPr>
        <w:t xml:space="preserve"> tax competition between local </w:t>
      </w:r>
      <w:r w:rsidR="001B5438">
        <w:rPr>
          <w:rFonts w:ascii="Times New Roman" w:hAnsi="Times New Roman" w:cs="Times New Roman"/>
          <w:color w:val="000000"/>
          <w:sz w:val="24"/>
          <w:szCs w:val="24"/>
          <w:lang w:val="en-GB"/>
        </w:rPr>
        <w:t>authorities</w:t>
      </w:r>
      <w:r w:rsidRPr="009927E1">
        <w:rPr>
          <w:rFonts w:ascii="Times New Roman" w:hAnsi="Times New Roman" w:cs="Times New Roman"/>
          <w:color w:val="000000"/>
          <w:sz w:val="24"/>
          <w:szCs w:val="24"/>
          <w:lang w:val="en-GB"/>
        </w:rPr>
        <w:t>, inequalities in accessing local services, etc.).</w:t>
      </w:r>
    </w:p>
    <w:p w14:paraId="577684B7" w14:textId="4CD8136A" w:rsidR="00FE6874" w:rsidRPr="009927E1" w:rsidRDefault="00FE6874" w:rsidP="00FE6874">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Comparative data from </w:t>
      </w:r>
      <w:r w:rsidRPr="009927E1">
        <w:rPr>
          <w:rFonts w:ascii="Times New Roman" w:hAnsi="Times New Roman" w:cs="Times New Roman"/>
          <w:i/>
          <w:iCs/>
          <w:color w:val="000000"/>
          <w:sz w:val="24"/>
          <w:szCs w:val="24"/>
          <w:lang w:val="en-GB"/>
        </w:rPr>
        <w:t>Table 1</w:t>
      </w:r>
      <w:r w:rsidRPr="009927E1">
        <w:rPr>
          <w:rFonts w:ascii="Times New Roman" w:hAnsi="Times New Roman" w:cs="Times New Roman"/>
          <w:color w:val="000000"/>
          <w:sz w:val="24"/>
          <w:szCs w:val="24"/>
          <w:lang w:val="en-GB"/>
        </w:rPr>
        <w:t xml:space="preserve"> shows the number and size of municipalities from European countries members of the OECD, including a comparison with the current situation of Romanian municipalities:</w:t>
      </w:r>
    </w:p>
    <w:p w14:paraId="78CE4C4D" w14:textId="6B071D44" w:rsidR="00FE6874" w:rsidRPr="009927E1" w:rsidRDefault="00FE6874" w:rsidP="004B7962">
      <w:pPr>
        <w:suppressAutoHyphens/>
        <w:autoSpaceDE w:val="0"/>
        <w:autoSpaceDN w:val="0"/>
        <w:adjustRightInd w:val="0"/>
        <w:spacing w:after="0" w:line="240" w:lineRule="auto"/>
        <w:jc w:val="both"/>
        <w:textAlignment w:val="center"/>
        <w:rPr>
          <w:rFonts w:ascii="Times New Roman" w:hAnsi="Times New Roman" w:cs="Times New Roman"/>
          <w:color w:val="000000"/>
          <w:lang w:val="en-GB"/>
        </w:rPr>
      </w:pPr>
      <w:r w:rsidRPr="009927E1">
        <w:rPr>
          <w:rFonts w:ascii="Times New Roman" w:hAnsi="Times New Roman" w:cs="Times New Roman"/>
          <w:i/>
          <w:iCs/>
          <w:color w:val="000000"/>
          <w:lang w:val="en-GB"/>
        </w:rPr>
        <w:t>Table 1.</w:t>
      </w:r>
      <w:r w:rsidRPr="009927E1">
        <w:rPr>
          <w:rFonts w:ascii="Times New Roman" w:hAnsi="Times New Roman" w:cs="Times New Roman"/>
          <w:color w:val="000000"/>
          <w:lang w:val="en-GB"/>
        </w:rPr>
        <w:t xml:space="preserve"> Number and size of municipalities in different European countries</w:t>
      </w:r>
    </w:p>
    <w:tbl>
      <w:tblPr>
        <w:tblStyle w:val="Tabelgril"/>
        <w:tblW w:w="0" w:type="auto"/>
        <w:tblLook w:val="04A0" w:firstRow="1" w:lastRow="0" w:firstColumn="1" w:lastColumn="0" w:noHBand="0" w:noVBand="1"/>
      </w:tblPr>
      <w:tblGrid>
        <w:gridCol w:w="1696"/>
        <w:gridCol w:w="1158"/>
        <w:gridCol w:w="1577"/>
        <w:gridCol w:w="1573"/>
        <w:gridCol w:w="1284"/>
        <w:gridCol w:w="1772"/>
      </w:tblGrid>
      <w:tr w:rsidR="00FE6874" w:rsidRPr="002B2B85" w14:paraId="27F747A4" w14:textId="77777777" w:rsidTr="00143156">
        <w:tc>
          <w:tcPr>
            <w:tcW w:w="1696" w:type="dxa"/>
          </w:tcPr>
          <w:p w14:paraId="1D520E6D" w14:textId="77777777" w:rsidR="00FE6874" w:rsidRPr="009927E1" w:rsidRDefault="00FE6874" w:rsidP="004B7962">
            <w:pPr>
              <w:suppressAutoHyphens/>
              <w:autoSpaceDE w:val="0"/>
              <w:autoSpaceDN w:val="0"/>
              <w:adjustRightInd w:val="0"/>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Country</w:t>
            </w:r>
          </w:p>
        </w:tc>
        <w:tc>
          <w:tcPr>
            <w:tcW w:w="932" w:type="dxa"/>
          </w:tcPr>
          <w:p w14:paraId="7000272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Number of municipal entities</w:t>
            </w:r>
          </w:p>
        </w:tc>
        <w:tc>
          <w:tcPr>
            <w:tcW w:w="0" w:type="auto"/>
          </w:tcPr>
          <w:p w14:paraId="50EB5F9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Average municipal size (number of inhabitants)</w:t>
            </w:r>
          </w:p>
        </w:tc>
        <w:tc>
          <w:tcPr>
            <w:tcW w:w="0" w:type="auto"/>
          </w:tcPr>
          <w:p w14:paraId="70BFA62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Median municipal size (number of inhabitants)</w:t>
            </w:r>
          </w:p>
        </w:tc>
        <w:tc>
          <w:tcPr>
            <w:tcW w:w="0" w:type="auto"/>
          </w:tcPr>
          <w:p w14:paraId="0355449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Average municipal area (km</w:t>
            </w:r>
            <w:r w:rsidRPr="009927E1">
              <w:rPr>
                <w:rFonts w:ascii="Times New Roman" w:hAnsi="Times New Roman" w:cs="Times New Roman"/>
                <w:b/>
                <w:bCs/>
                <w:color w:val="000000"/>
                <w:vertAlign w:val="superscript"/>
                <w:lang w:val="en-GB"/>
              </w:rPr>
              <w:t>2</w:t>
            </w:r>
            <w:r w:rsidRPr="009927E1">
              <w:rPr>
                <w:rFonts w:ascii="Times New Roman" w:hAnsi="Times New Roman" w:cs="Times New Roman"/>
                <w:b/>
                <w:bCs/>
                <w:color w:val="000000"/>
                <w:lang w:val="en-GB"/>
              </w:rPr>
              <w:t>)</w:t>
            </w:r>
          </w:p>
        </w:tc>
        <w:tc>
          <w:tcPr>
            <w:tcW w:w="0" w:type="auto"/>
          </w:tcPr>
          <w:p w14:paraId="793601F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 of municipalities with less than 2,000 inhabitants</w:t>
            </w:r>
          </w:p>
        </w:tc>
      </w:tr>
      <w:tr w:rsidR="00FE6874" w:rsidRPr="009927E1" w14:paraId="495C3006" w14:textId="77777777" w:rsidTr="00143156">
        <w:tc>
          <w:tcPr>
            <w:tcW w:w="1696" w:type="dxa"/>
          </w:tcPr>
          <w:p w14:paraId="54842B61"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Austria</w:t>
            </w:r>
          </w:p>
        </w:tc>
        <w:tc>
          <w:tcPr>
            <w:tcW w:w="932" w:type="dxa"/>
          </w:tcPr>
          <w:p w14:paraId="6D81090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2,100</w:t>
            </w:r>
          </w:p>
        </w:tc>
        <w:tc>
          <w:tcPr>
            <w:tcW w:w="0" w:type="auto"/>
          </w:tcPr>
          <w:p w14:paraId="0A44DEE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4,090</w:t>
            </w:r>
          </w:p>
        </w:tc>
        <w:tc>
          <w:tcPr>
            <w:tcW w:w="0" w:type="auto"/>
          </w:tcPr>
          <w:p w14:paraId="0F286A7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1,790</w:t>
            </w:r>
          </w:p>
        </w:tc>
        <w:tc>
          <w:tcPr>
            <w:tcW w:w="0" w:type="auto"/>
          </w:tcPr>
          <w:p w14:paraId="1C89E8B9"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39</w:t>
            </w:r>
          </w:p>
        </w:tc>
        <w:tc>
          <w:tcPr>
            <w:tcW w:w="0" w:type="auto"/>
          </w:tcPr>
          <w:p w14:paraId="71B1B43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55%</w:t>
            </w:r>
          </w:p>
        </w:tc>
      </w:tr>
      <w:tr w:rsidR="00FE6874" w:rsidRPr="009927E1" w14:paraId="5F78AAB6" w14:textId="77777777" w:rsidTr="00143156">
        <w:tc>
          <w:tcPr>
            <w:tcW w:w="1696" w:type="dxa"/>
          </w:tcPr>
          <w:p w14:paraId="70AB21EE"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Belgium</w:t>
            </w:r>
          </w:p>
        </w:tc>
        <w:tc>
          <w:tcPr>
            <w:tcW w:w="932" w:type="dxa"/>
          </w:tcPr>
          <w:p w14:paraId="704199C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589</w:t>
            </w:r>
          </w:p>
        </w:tc>
        <w:tc>
          <w:tcPr>
            <w:tcW w:w="0" w:type="auto"/>
          </w:tcPr>
          <w:p w14:paraId="1FB62E8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19,030</w:t>
            </w:r>
          </w:p>
        </w:tc>
        <w:tc>
          <w:tcPr>
            <w:tcW w:w="0" w:type="auto"/>
          </w:tcPr>
          <w:p w14:paraId="2B22ED6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12,045</w:t>
            </w:r>
          </w:p>
        </w:tc>
        <w:tc>
          <w:tcPr>
            <w:tcW w:w="0" w:type="auto"/>
          </w:tcPr>
          <w:p w14:paraId="75FA100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51</w:t>
            </w:r>
          </w:p>
        </w:tc>
        <w:tc>
          <w:tcPr>
            <w:tcW w:w="0" w:type="auto"/>
          </w:tcPr>
          <w:p w14:paraId="1546FD8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r>
      <w:tr w:rsidR="00FE6874" w:rsidRPr="009927E1" w14:paraId="323DF64D" w14:textId="77777777" w:rsidTr="00143156">
        <w:tc>
          <w:tcPr>
            <w:tcW w:w="1696" w:type="dxa"/>
          </w:tcPr>
          <w:p w14:paraId="3339E854"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Czech Republic</w:t>
            </w:r>
          </w:p>
        </w:tc>
        <w:tc>
          <w:tcPr>
            <w:tcW w:w="932" w:type="dxa"/>
          </w:tcPr>
          <w:p w14:paraId="4F929AA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6,258</w:t>
            </w:r>
          </w:p>
        </w:tc>
        <w:tc>
          <w:tcPr>
            <w:tcW w:w="0" w:type="auto"/>
          </w:tcPr>
          <w:p w14:paraId="4644FFF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1,640</w:t>
            </w:r>
          </w:p>
        </w:tc>
        <w:tc>
          <w:tcPr>
            <w:tcW w:w="0" w:type="auto"/>
          </w:tcPr>
          <w:p w14:paraId="601BAE9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420</w:t>
            </w:r>
          </w:p>
        </w:tc>
        <w:tc>
          <w:tcPr>
            <w:tcW w:w="0" w:type="auto"/>
          </w:tcPr>
          <w:p w14:paraId="2106DD1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w:t>
            </w:r>
          </w:p>
        </w:tc>
        <w:tc>
          <w:tcPr>
            <w:tcW w:w="0" w:type="auto"/>
          </w:tcPr>
          <w:p w14:paraId="1F5C47D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89%</w:t>
            </w:r>
          </w:p>
        </w:tc>
      </w:tr>
      <w:tr w:rsidR="00FE6874" w:rsidRPr="009927E1" w14:paraId="7B0A6982" w14:textId="77777777" w:rsidTr="00143156">
        <w:tc>
          <w:tcPr>
            <w:tcW w:w="1696" w:type="dxa"/>
          </w:tcPr>
          <w:p w14:paraId="0E1EBBF8"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Denmark</w:t>
            </w:r>
          </w:p>
        </w:tc>
        <w:tc>
          <w:tcPr>
            <w:tcW w:w="932" w:type="dxa"/>
          </w:tcPr>
          <w:p w14:paraId="4C1DE45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98</w:t>
            </w:r>
          </w:p>
        </w:tc>
        <w:tc>
          <w:tcPr>
            <w:tcW w:w="0" w:type="auto"/>
          </w:tcPr>
          <w:p w14:paraId="31CD05B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58,155</w:t>
            </w:r>
          </w:p>
        </w:tc>
        <w:tc>
          <w:tcPr>
            <w:tcW w:w="0" w:type="auto"/>
          </w:tcPr>
          <w:p w14:paraId="216114D9"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42,850</w:t>
            </w:r>
          </w:p>
        </w:tc>
        <w:tc>
          <w:tcPr>
            <w:tcW w:w="0" w:type="auto"/>
          </w:tcPr>
          <w:p w14:paraId="24699AB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438</w:t>
            </w:r>
          </w:p>
        </w:tc>
        <w:tc>
          <w:tcPr>
            <w:tcW w:w="0" w:type="auto"/>
          </w:tcPr>
          <w:p w14:paraId="0261BFD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r>
      <w:tr w:rsidR="00FE6874" w:rsidRPr="009927E1" w14:paraId="28F92158" w14:textId="77777777" w:rsidTr="00143156">
        <w:tc>
          <w:tcPr>
            <w:tcW w:w="1696" w:type="dxa"/>
          </w:tcPr>
          <w:p w14:paraId="597E9378"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Estonia</w:t>
            </w:r>
          </w:p>
        </w:tc>
        <w:tc>
          <w:tcPr>
            <w:tcW w:w="932" w:type="dxa"/>
          </w:tcPr>
          <w:p w14:paraId="67EC3B1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213</w:t>
            </w:r>
          </w:p>
        </w:tc>
        <w:tc>
          <w:tcPr>
            <w:tcW w:w="0" w:type="auto"/>
          </w:tcPr>
          <w:p w14:paraId="6CA3825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6,165</w:t>
            </w:r>
          </w:p>
        </w:tc>
        <w:tc>
          <w:tcPr>
            <w:tcW w:w="0" w:type="auto"/>
          </w:tcPr>
          <w:p w14:paraId="57CB80F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1,710</w:t>
            </w:r>
          </w:p>
        </w:tc>
        <w:tc>
          <w:tcPr>
            <w:tcW w:w="0" w:type="auto"/>
          </w:tcPr>
          <w:p w14:paraId="35207E3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204</w:t>
            </w:r>
          </w:p>
        </w:tc>
        <w:tc>
          <w:tcPr>
            <w:tcW w:w="0" w:type="auto"/>
          </w:tcPr>
          <w:p w14:paraId="3A96098C"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54%</w:t>
            </w:r>
          </w:p>
        </w:tc>
      </w:tr>
      <w:tr w:rsidR="00FE6874" w:rsidRPr="009927E1" w14:paraId="08AD439E" w14:textId="77777777" w:rsidTr="00143156">
        <w:tc>
          <w:tcPr>
            <w:tcW w:w="1696" w:type="dxa"/>
          </w:tcPr>
          <w:p w14:paraId="7880EC81"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France</w:t>
            </w:r>
          </w:p>
        </w:tc>
        <w:tc>
          <w:tcPr>
            <w:tcW w:w="932" w:type="dxa"/>
          </w:tcPr>
          <w:p w14:paraId="04FE124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35,885</w:t>
            </w:r>
          </w:p>
        </w:tc>
        <w:tc>
          <w:tcPr>
            <w:tcW w:w="0" w:type="auto"/>
          </w:tcPr>
          <w:p w14:paraId="220F88D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1,855</w:t>
            </w:r>
          </w:p>
        </w:tc>
        <w:tc>
          <w:tcPr>
            <w:tcW w:w="0" w:type="auto"/>
          </w:tcPr>
          <w:p w14:paraId="4901FE5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435</w:t>
            </w:r>
          </w:p>
        </w:tc>
        <w:tc>
          <w:tcPr>
            <w:tcW w:w="0" w:type="auto"/>
          </w:tcPr>
          <w:p w14:paraId="6C87461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16</w:t>
            </w:r>
          </w:p>
        </w:tc>
        <w:tc>
          <w:tcPr>
            <w:tcW w:w="0" w:type="auto"/>
          </w:tcPr>
          <w:p w14:paraId="1C97DAB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86%</w:t>
            </w:r>
          </w:p>
        </w:tc>
      </w:tr>
      <w:tr w:rsidR="00FE6874" w:rsidRPr="009927E1" w14:paraId="34BB3651" w14:textId="77777777" w:rsidTr="00143156">
        <w:tc>
          <w:tcPr>
            <w:tcW w:w="1696" w:type="dxa"/>
          </w:tcPr>
          <w:p w14:paraId="7A07C848"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Finland</w:t>
            </w:r>
          </w:p>
        </w:tc>
        <w:tc>
          <w:tcPr>
            <w:tcW w:w="932" w:type="dxa"/>
          </w:tcPr>
          <w:p w14:paraId="179B61B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313</w:t>
            </w:r>
          </w:p>
        </w:tc>
        <w:tc>
          <w:tcPr>
            <w:tcW w:w="0" w:type="auto"/>
          </w:tcPr>
          <w:p w14:paraId="3F00E1E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17,530</w:t>
            </w:r>
          </w:p>
        </w:tc>
        <w:tc>
          <w:tcPr>
            <w:tcW w:w="0" w:type="auto"/>
          </w:tcPr>
          <w:p w14:paraId="1FE64F4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6,060</w:t>
            </w:r>
          </w:p>
        </w:tc>
        <w:tc>
          <w:tcPr>
            <w:tcW w:w="0" w:type="auto"/>
          </w:tcPr>
          <w:p w14:paraId="617B344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971</w:t>
            </w:r>
          </w:p>
        </w:tc>
        <w:tc>
          <w:tcPr>
            <w:tcW w:w="0" w:type="auto"/>
          </w:tcPr>
          <w:p w14:paraId="4E913C1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w:t>
            </w:r>
          </w:p>
        </w:tc>
      </w:tr>
      <w:tr w:rsidR="00FE6874" w:rsidRPr="009927E1" w14:paraId="51A48C7C" w14:textId="77777777" w:rsidTr="00143156">
        <w:tc>
          <w:tcPr>
            <w:tcW w:w="1696" w:type="dxa"/>
          </w:tcPr>
          <w:p w14:paraId="0D1F93DA"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Germany</w:t>
            </w:r>
          </w:p>
        </w:tc>
        <w:tc>
          <w:tcPr>
            <w:tcW w:w="932" w:type="dxa"/>
          </w:tcPr>
          <w:p w14:paraId="0F77BE2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11,092</w:t>
            </w:r>
          </w:p>
        </w:tc>
        <w:tc>
          <w:tcPr>
            <w:tcW w:w="0" w:type="auto"/>
          </w:tcPr>
          <w:p w14:paraId="7FC7B61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7,320</w:t>
            </w:r>
          </w:p>
        </w:tc>
        <w:tc>
          <w:tcPr>
            <w:tcW w:w="0" w:type="auto"/>
          </w:tcPr>
          <w:p w14:paraId="2BA15FD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1,710</w:t>
            </w:r>
          </w:p>
        </w:tc>
        <w:tc>
          <w:tcPr>
            <w:tcW w:w="0" w:type="auto"/>
          </w:tcPr>
          <w:p w14:paraId="68E723C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32</w:t>
            </w:r>
          </w:p>
        </w:tc>
        <w:tc>
          <w:tcPr>
            <w:tcW w:w="0" w:type="auto"/>
          </w:tcPr>
          <w:p w14:paraId="0653A31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54%</w:t>
            </w:r>
          </w:p>
        </w:tc>
      </w:tr>
      <w:tr w:rsidR="00FE6874" w:rsidRPr="009927E1" w14:paraId="478320F9" w14:textId="77777777" w:rsidTr="00143156">
        <w:tc>
          <w:tcPr>
            <w:tcW w:w="1696" w:type="dxa"/>
          </w:tcPr>
          <w:p w14:paraId="30AE56CD"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Greece</w:t>
            </w:r>
          </w:p>
        </w:tc>
        <w:tc>
          <w:tcPr>
            <w:tcW w:w="932" w:type="dxa"/>
          </w:tcPr>
          <w:p w14:paraId="2B44C393"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325</w:t>
            </w:r>
          </w:p>
        </w:tc>
        <w:tc>
          <w:tcPr>
            <w:tcW w:w="0" w:type="auto"/>
          </w:tcPr>
          <w:p w14:paraId="080FB4B9"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33,410</w:t>
            </w:r>
          </w:p>
        </w:tc>
        <w:tc>
          <w:tcPr>
            <w:tcW w:w="0" w:type="auto"/>
          </w:tcPr>
          <w:p w14:paraId="5D94DA4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n.a.</w:t>
            </w:r>
          </w:p>
        </w:tc>
        <w:tc>
          <w:tcPr>
            <w:tcW w:w="0" w:type="auto"/>
          </w:tcPr>
          <w:p w14:paraId="32868AB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403</w:t>
            </w:r>
          </w:p>
        </w:tc>
        <w:tc>
          <w:tcPr>
            <w:tcW w:w="0" w:type="auto"/>
          </w:tcPr>
          <w:p w14:paraId="6E838B4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n.a.</w:t>
            </w:r>
          </w:p>
        </w:tc>
      </w:tr>
      <w:tr w:rsidR="00FE6874" w:rsidRPr="009927E1" w14:paraId="1B578067" w14:textId="77777777" w:rsidTr="00143156">
        <w:tc>
          <w:tcPr>
            <w:tcW w:w="1696" w:type="dxa"/>
          </w:tcPr>
          <w:p w14:paraId="0C94C5CE"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Hungary</w:t>
            </w:r>
          </w:p>
        </w:tc>
        <w:tc>
          <w:tcPr>
            <w:tcW w:w="932" w:type="dxa"/>
          </w:tcPr>
          <w:p w14:paraId="42751F0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3,178</w:t>
            </w:r>
          </w:p>
        </w:tc>
        <w:tc>
          <w:tcPr>
            <w:tcW w:w="0" w:type="auto"/>
          </w:tcPr>
          <w:p w14:paraId="2234AD1C"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3,125</w:t>
            </w:r>
          </w:p>
        </w:tc>
        <w:tc>
          <w:tcPr>
            <w:tcW w:w="0" w:type="auto"/>
          </w:tcPr>
          <w:p w14:paraId="59E1C2E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815</w:t>
            </w:r>
          </w:p>
        </w:tc>
        <w:tc>
          <w:tcPr>
            <w:tcW w:w="0" w:type="auto"/>
          </w:tcPr>
          <w:p w14:paraId="44FF909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w:t>
            </w:r>
          </w:p>
        </w:tc>
        <w:tc>
          <w:tcPr>
            <w:tcW w:w="0" w:type="auto"/>
          </w:tcPr>
          <w:p w14:paraId="1B5B5EF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76%</w:t>
            </w:r>
          </w:p>
        </w:tc>
      </w:tr>
      <w:tr w:rsidR="00FE6874" w:rsidRPr="009927E1" w14:paraId="1930F747" w14:textId="77777777" w:rsidTr="00143156">
        <w:tc>
          <w:tcPr>
            <w:tcW w:w="1696" w:type="dxa"/>
          </w:tcPr>
          <w:p w14:paraId="06E5B242"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Iceland</w:t>
            </w:r>
          </w:p>
        </w:tc>
        <w:tc>
          <w:tcPr>
            <w:tcW w:w="932" w:type="dxa"/>
          </w:tcPr>
          <w:p w14:paraId="34F4425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74</w:t>
            </w:r>
          </w:p>
        </w:tc>
        <w:tc>
          <w:tcPr>
            <w:tcW w:w="0" w:type="auto"/>
          </w:tcPr>
          <w:p w14:paraId="19A24F43"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4,445</w:t>
            </w:r>
          </w:p>
        </w:tc>
        <w:tc>
          <w:tcPr>
            <w:tcW w:w="0" w:type="auto"/>
          </w:tcPr>
          <w:p w14:paraId="02C78BA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880</w:t>
            </w:r>
          </w:p>
        </w:tc>
        <w:tc>
          <w:tcPr>
            <w:tcW w:w="0" w:type="auto"/>
          </w:tcPr>
          <w:p w14:paraId="3C44E54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1,355</w:t>
            </w:r>
          </w:p>
        </w:tc>
        <w:tc>
          <w:tcPr>
            <w:tcW w:w="0" w:type="auto"/>
          </w:tcPr>
          <w:p w14:paraId="3A1D82D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72%</w:t>
            </w:r>
          </w:p>
        </w:tc>
      </w:tr>
      <w:tr w:rsidR="00FE6874" w:rsidRPr="009927E1" w14:paraId="0939CB28" w14:textId="77777777" w:rsidTr="00143156">
        <w:tc>
          <w:tcPr>
            <w:tcW w:w="1696" w:type="dxa"/>
          </w:tcPr>
          <w:p w14:paraId="068B26BA"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Ireland</w:t>
            </w:r>
          </w:p>
        </w:tc>
        <w:tc>
          <w:tcPr>
            <w:tcW w:w="932" w:type="dxa"/>
          </w:tcPr>
          <w:p w14:paraId="23596F6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31</w:t>
            </w:r>
          </w:p>
        </w:tc>
        <w:tc>
          <w:tcPr>
            <w:tcW w:w="0" w:type="auto"/>
          </w:tcPr>
          <w:p w14:paraId="3914C234"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149,530</w:t>
            </w:r>
          </w:p>
        </w:tc>
        <w:tc>
          <w:tcPr>
            <w:tcW w:w="0" w:type="auto"/>
          </w:tcPr>
          <w:p w14:paraId="6C6B064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122,900</w:t>
            </w:r>
          </w:p>
        </w:tc>
        <w:tc>
          <w:tcPr>
            <w:tcW w:w="0" w:type="auto"/>
          </w:tcPr>
          <w:p w14:paraId="60DDA7C4"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2,206</w:t>
            </w:r>
          </w:p>
        </w:tc>
        <w:tc>
          <w:tcPr>
            <w:tcW w:w="0" w:type="auto"/>
          </w:tcPr>
          <w:p w14:paraId="3279E45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0%</w:t>
            </w:r>
          </w:p>
        </w:tc>
      </w:tr>
      <w:tr w:rsidR="00FE6874" w:rsidRPr="009927E1" w14:paraId="03630E8A" w14:textId="77777777" w:rsidTr="00143156">
        <w:tc>
          <w:tcPr>
            <w:tcW w:w="1696" w:type="dxa"/>
          </w:tcPr>
          <w:p w14:paraId="09336014"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Italy</w:t>
            </w:r>
          </w:p>
        </w:tc>
        <w:tc>
          <w:tcPr>
            <w:tcW w:w="932" w:type="dxa"/>
          </w:tcPr>
          <w:p w14:paraId="12F988A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8,047</w:t>
            </w:r>
          </w:p>
        </w:tc>
        <w:tc>
          <w:tcPr>
            <w:tcW w:w="0" w:type="auto"/>
          </w:tcPr>
          <w:p w14:paraId="09FB462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7,545</w:t>
            </w:r>
          </w:p>
        </w:tc>
        <w:tc>
          <w:tcPr>
            <w:tcW w:w="0" w:type="auto"/>
          </w:tcPr>
          <w:p w14:paraId="07BF32D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2,430</w:t>
            </w:r>
          </w:p>
        </w:tc>
        <w:tc>
          <w:tcPr>
            <w:tcW w:w="0" w:type="auto"/>
          </w:tcPr>
          <w:p w14:paraId="4D0D3DF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37</w:t>
            </w:r>
          </w:p>
        </w:tc>
        <w:tc>
          <w:tcPr>
            <w:tcW w:w="0" w:type="auto"/>
          </w:tcPr>
          <w:p w14:paraId="100DFB0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44%</w:t>
            </w:r>
          </w:p>
        </w:tc>
      </w:tr>
      <w:tr w:rsidR="00FE6874" w:rsidRPr="009927E1" w14:paraId="53F19633" w14:textId="77777777" w:rsidTr="00143156">
        <w:tc>
          <w:tcPr>
            <w:tcW w:w="1696" w:type="dxa"/>
          </w:tcPr>
          <w:p w14:paraId="0A3167F4"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Luxemburg</w:t>
            </w:r>
          </w:p>
        </w:tc>
        <w:tc>
          <w:tcPr>
            <w:tcW w:w="932" w:type="dxa"/>
          </w:tcPr>
          <w:p w14:paraId="246DA86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105</w:t>
            </w:r>
          </w:p>
        </w:tc>
        <w:tc>
          <w:tcPr>
            <w:tcW w:w="0" w:type="auto"/>
          </w:tcPr>
          <w:p w14:paraId="1DE12F3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5,360</w:t>
            </w:r>
          </w:p>
        </w:tc>
        <w:tc>
          <w:tcPr>
            <w:tcW w:w="0" w:type="auto"/>
          </w:tcPr>
          <w:p w14:paraId="62DCF744"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2,520</w:t>
            </w:r>
          </w:p>
        </w:tc>
        <w:tc>
          <w:tcPr>
            <w:tcW w:w="0" w:type="auto"/>
          </w:tcPr>
          <w:p w14:paraId="5206E4F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25</w:t>
            </w:r>
          </w:p>
        </w:tc>
        <w:tc>
          <w:tcPr>
            <w:tcW w:w="0" w:type="auto"/>
          </w:tcPr>
          <w:p w14:paraId="6D89A0F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37%</w:t>
            </w:r>
          </w:p>
        </w:tc>
      </w:tr>
      <w:tr w:rsidR="00FE6874" w:rsidRPr="009927E1" w14:paraId="16F1AB7C" w14:textId="77777777" w:rsidTr="00143156">
        <w:tc>
          <w:tcPr>
            <w:tcW w:w="1696" w:type="dxa"/>
          </w:tcPr>
          <w:p w14:paraId="761BF445"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Netherlands</w:t>
            </w:r>
          </w:p>
        </w:tc>
        <w:tc>
          <w:tcPr>
            <w:tcW w:w="932" w:type="dxa"/>
          </w:tcPr>
          <w:p w14:paraId="297701C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390</w:t>
            </w:r>
          </w:p>
        </w:tc>
        <w:tc>
          <w:tcPr>
            <w:tcW w:w="0" w:type="auto"/>
          </w:tcPr>
          <w:p w14:paraId="558C6CA3"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43,540</w:t>
            </w:r>
          </w:p>
        </w:tc>
        <w:tc>
          <w:tcPr>
            <w:tcW w:w="0" w:type="auto"/>
          </w:tcPr>
          <w:p w14:paraId="0730834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26,515</w:t>
            </w:r>
          </w:p>
        </w:tc>
        <w:tc>
          <w:tcPr>
            <w:tcW w:w="0" w:type="auto"/>
          </w:tcPr>
          <w:p w14:paraId="6B29215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86</w:t>
            </w:r>
          </w:p>
        </w:tc>
        <w:tc>
          <w:tcPr>
            <w:tcW w:w="0" w:type="auto"/>
          </w:tcPr>
          <w:p w14:paraId="23F2068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r>
      <w:tr w:rsidR="00FE6874" w:rsidRPr="009927E1" w14:paraId="121FCAA4" w14:textId="77777777" w:rsidTr="00143156">
        <w:tc>
          <w:tcPr>
            <w:tcW w:w="1696" w:type="dxa"/>
          </w:tcPr>
          <w:p w14:paraId="504C753C"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Norway</w:t>
            </w:r>
          </w:p>
        </w:tc>
        <w:tc>
          <w:tcPr>
            <w:tcW w:w="932" w:type="dxa"/>
          </w:tcPr>
          <w:p w14:paraId="203A59B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428</w:t>
            </w:r>
          </w:p>
        </w:tc>
        <w:tc>
          <w:tcPr>
            <w:tcW w:w="0" w:type="auto"/>
          </w:tcPr>
          <w:p w14:paraId="798F7513"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12,185</w:t>
            </w:r>
          </w:p>
        </w:tc>
        <w:tc>
          <w:tcPr>
            <w:tcW w:w="0" w:type="auto"/>
          </w:tcPr>
          <w:p w14:paraId="0F8B4654"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4,715</w:t>
            </w:r>
          </w:p>
        </w:tc>
        <w:tc>
          <w:tcPr>
            <w:tcW w:w="0" w:type="auto"/>
          </w:tcPr>
          <w:p w14:paraId="6D15B1B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711</w:t>
            </w:r>
          </w:p>
        </w:tc>
        <w:tc>
          <w:tcPr>
            <w:tcW w:w="0" w:type="auto"/>
          </w:tcPr>
          <w:p w14:paraId="744EE7C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22%</w:t>
            </w:r>
          </w:p>
        </w:tc>
      </w:tr>
      <w:tr w:rsidR="00FE6874" w:rsidRPr="009927E1" w14:paraId="1876FDC5" w14:textId="77777777" w:rsidTr="00143156">
        <w:tc>
          <w:tcPr>
            <w:tcW w:w="1696" w:type="dxa"/>
          </w:tcPr>
          <w:p w14:paraId="68ADB258"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Poland</w:t>
            </w:r>
          </w:p>
        </w:tc>
        <w:tc>
          <w:tcPr>
            <w:tcW w:w="932" w:type="dxa"/>
          </w:tcPr>
          <w:p w14:paraId="6A9FBFB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2,478</w:t>
            </w:r>
          </w:p>
        </w:tc>
        <w:tc>
          <w:tcPr>
            <w:tcW w:w="0" w:type="auto"/>
          </w:tcPr>
          <w:p w14:paraId="0D8AE95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15,530</w:t>
            </w:r>
          </w:p>
        </w:tc>
        <w:tc>
          <w:tcPr>
            <w:tcW w:w="0" w:type="auto"/>
          </w:tcPr>
          <w:p w14:paraId="2525520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7,540</w:t>
            </w:r>
          </w:p>
        </w:tc>
        <w:tc>
          <w:tcPr>
            <w:tcW w:w="0" w:type="auto"/>
          </w:tcPr>
          <w:p w14:paraId="23C846E3"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126</w:t>
            </w:r>
          </w:p>
        </w:tc>
        <w:tc>
          <w:tcPr>
            <w:tcW w:w="0" w:type="auto"/>
          </w:tcPr>
          <w:p w14:paraId="5554275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r>
      <w:tr w:rsidR="00FE6874" w:rsidRPr="009927E1" w14:paraId="34EE880B" w14:textId="77777777" w:rsidTr="00143156">
        <w:tc>
          <w:tcPr>
            <w:tcW w:w="1696" w:type="dxa"/>
          </w:tcPr>
          <w:p w14:paraId="27F22005"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Portugal</w:t>
            </w:r>
          </w:p>
        </w:tc>
        <w:tc>
          <w:tcPr>
            <w:tcW w:w="932" w:type="dxa"/>
          </w:tcPr>
          <w:p w14:paraId="0EC3352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308</w:t>
            </w:r>
          </w:p>
        </w:tc>
        <w:tc>
          <w:tcPr>
            <w:tcW w:w="0" w:type="auto"/>
          </w:tcPr>
          <w:p w14:paraId="71DB3B7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33,400</w:t>
            </w:r>
          </w:p>
        </w:tc>
        <w:tc>
          <w:tcPr>
            <w:tcW w:w="0" w:type="auto"/>
          </w:tcPr>
          <w:p w14:paraId="0285085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14,380</w:t>
            </w:r>
          </w:p>
        </w:tc>
        <w:tc>
          <w:tcPr>
            <w:tcW w:w="0" w:type="auto"/>
          </w:tcPr>
          <w:p w14:paraId="449DCFC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299</w:t>
            </w:r>
          </w:p>
        </w:tc>
        <w:tc>
          <w:tcPr>
            <w:tcW w:w="0" w:type="auto"/>
          </w:tcPr>
          <w:p w14:paraId="75395E9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w:t>
            </w:r>
          </w:p>
        </w:tc>
      </w:tr>
      <w:tr w:rsidR="00FE6874" w:rsidRPr="009927E1" w14:paraId="2F216E7D" w14:textId="77777777" w:rsidTr="00143156">
        <w:tc>
          <w:tcPr>
            <w:tcW w:w="1696" w:type="dxa"/>
          </w:tcPr>
          <w:p w14:paraId="3DE5E909"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Slovak Republic</w:t>
            </w:r>
          </w:p>
        </w:tc>
        <w:tc>
          <w:tcPr>
            <w:tcW w:w="932" w:type="dxa"/>
          </w:tcPr>
          <w:p w14:paraId="3829CC5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2,927</w:t>
            </w:r>
          </w:p>
        </w:tc>
        <w:tc>
          <w:tcPr>
            <w:tcW w:w="0" w:type="auto"/>
          </w:tcPr>
          <w:p w14:paraId="3691302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1,850</w:t>
            </w:r>
          </w:p>
        </w:tc>
        <w:tc>
          <w:tcPr>
            <w:tcW w:w="0" w:type="auto"/>
          </w:tcPr>
          <w:p w14:paraId="7AF0F60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655</w:t>
            </w:r>
          </w:p>
        </w:tc>
        <w:tc>
          <w:tcPr>
            <w:tcW w:w="0" w:type="auto"/>
          </w:tcPr>
          <w:p w14:paraId="091B245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w:t>
            </w:r>
          </w:p>
        </w:tc>
        <w:tc>
          <w:tcPr>
            <w:tcW w:w="0" w:type="auto"/>
          </w:tcPr>
          <w:p w14:paraId="714CECB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85%</w:t>
            </w:r>
          </w:p>
        </w:tc>
      </w:tr>
      <w:tr w:rsidR="00FE6874" w:rsidRPr="009927E1" w14:paraId="77CB734E" w14:textId="77777777" w:rsidTr="00143156">
        <w:tc>
          <w:tcPr>
            <w:tcW w:w="1696" w:type="dxa"/>
          </w:tcPr>
          <w:p w14:paraId="309874C6"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Slovenia</w:t>
            </w:r>
          </w:p>
        </w:tc>
        <w:tc>
          <w:tcPr>
            <w:tcW w:w="932" w:type="dxa"/>
          </w:tcPr>
          <w:p w14:paraId="63C48EB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212</w:t>
            </w:r>
          </w:p>
        </w:tc>
        <w:tc>
          <w:tcPr>
            <w:tcW w:w="0" w:type="auto"/>
          </w:tcPr>
          <w:p w14:paraId="06A40AE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9,730</w:t>
            </w:r>
          </w:p>
        </w:tc>
        <w:tc>
          <w:tcPr>
            <w:tcW w:w="0" w:type="auto"/>
          </w:tcPr>
          <w:p w14:paraId="5E43F70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4,730</w:t>
            </w:r>
          </w:p>
        </w:tc>
        <w:tc>
          <w:tcPr>
            <w:tcW w:w="0" w:type="auto"/>
          </w:tcPr>
          <w:p w14:paraId="70685B3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95</w:t>
            </w:r>
          </w:p>
        </w:tc>
        <w:tc>
          <w:tcPr>
            <w:tcW w:w="0" w:type="auto"/>
          </w:tcPr>
          <w:p w14:paraId="6E817752"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w:t>
            </w:r>
          </w:p>
        </w:tc>
      </w:tr>
      <w:tr w:rsidR="00FE6874" w:rsidRPr="009927E1" w14:paraId="39B41173" w14:textId="77777777" w:rsidTr="00143156">
        <w:tc>
          <w:tcPr>
            <w:tcW w:w="1696" w:type="dxa"/>
          </w:tcPr>
          <w:p w14:paraId="5313748A"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Spain</w:t>
            </w:r>
          </w:p>
        </w:tc>
        <w:tc>
          <w:tcPr>
            <w:tcW w:w="932" w:type="dxa"/>
          </w:tcPr>
          <w:p w14:paraId="2C6AC00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8,119</w:t>
            </w:r>
          </w:p>
        </w:tc>
        <w:tc>
          <w:tcPr>
            <w:tcW w:w="0" w:type="auto"/>
          </w:tcPr>
          <w:p w14:paraId="16569E79"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5,605</w:t>
            </w:r>
          </w:p>
        </w:tc>
        <w:tc>
          <w:tcPr>
            <w:tcW w:w="0" w:type="auto"/>
          </w:tcPr>
          <w:p w14:paraId="140A4314"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565</w:t>
            </w:r>
          </w:p>
        </w:tc>
        <w:tc>
          <w:tcPr>
            <w:tcW w:w="0" w:type="auto"/>
          </w:tcPr>
          <w:p w14:paraId="68BC15C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62</w:t>
            </w:r>
          </w:p>
        </w:tc>
        <w:tc>
          <w:tcPr>
            <w:tcW w:w="0" w:type="auto"/>
          </w:tcPr>
          <w:p w14:paraId="129D5AE0"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72%</w:t>
            </w:r>
          </w:p>
        </w:tc>
      </w:tr>
      <w:tr w:rsidR="00FE6874" w:rsidRPr="009927E1" w14:paraId="0C9D7EFE" w14:textId="77777777" w:rsidTr="00143156">
        <w:tc>
          <w:tcPr>
            <w:tcW w:w="1696" w:type="dxa"/>
          </w:tcPr>
          <w:p w14:paraId="4C0E4CF5"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Sweden</w:t>
            </w:r>
          </w:p>
        </w:tc>
        <w:tc>
          <w:tcPr>
            <w:tcW w:w="932" w:type="dxa"/>
          </w:tcPr>
          <w:p w14:paraId="5BAB2739"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290</w:t>
            </w:r>
          </w:p>
        </w:tc>
        <w:tc>
          <w:tcPr>
            <w:tcW w:w="0" w:type="auto"/>
          </w:tcPr>
          <w:p w14:paraId="500C95D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33,890</w:t>
            </w:r>
          </w:p>
        </w:tc>
        <w:tc>
          <w:tcPr>
            <w:tcW w:w="0" w:type="auto"/>
          </w:tcPr>
          <w:p w14:paraId="0DDD34AC"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15,435</w:t>
            </w:r>
          </w:p>
        </w:tc>
        <w:tc>
          <w:tcPr>
            <w:tcW w:w="0" w:type="auto"/>
          </w:tcPr>
          <w:p w14:paraId="7A3A5C9C"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1,405</w:t>
            </w:r>
          </w:p>
        </w:tc>
        <w:tc>
          <w:tcPr>
            <w:tcW w:w="0" w:type="auto"/>
          </w:tcPr>
          <w:p w14:paraId="2BFFBA5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0%</w:t>
            </w:r>
          </w:p>
        </w:tc>
      </w:tr>
      <w:tr w:rsidR="00FE6874" w:rsidRPr="009927E1" w14:paraId="4705E54F" w14:textId="77777777" w:rsidTr="00143156">
        <w:tc>
          <w:tcPr>
            <w:tcW w:w="1696" w:type="dxa"/>
          </w:tcPr>
          <w:p w14:paraId="111D9DC2"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Switzerland</w:t>
            </w:r>
          </w:p>
        </w:tc>
        <w:tc>
          <w:tcPr>
            <w:tcW w:w="932" w:type="dxa"/>
          </w:tcPr>
          <w:p w14:paraId="3839D9E5"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2,294</w:t>
            </w:r>
          </w:p>
        </w:tc>
        <w:tc>
          <w:tcPr>
            <w:tcW w:w="0" w:type="auto"/>
          </w:tcPr>
          <w:p w14:paraId="1E68E56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3,590</w:t>
            </w:r>
          </w:p>
        </w:tc>
        <w:tc>
          <w:tcPr>
            <w:tcW w:w="0" w:type="auto"/>
          </w:tcPr>
          <w:p w14:paraId="3936927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1,370</w:t>
            </w:r>
          </w:p>
        </w:tc>
        <w:tc>
          <w:tcPr>
            <w:tcW w:w="0" w:type="auto"/>
          </w:tcPr>
          <w:p w14:paraId="7D9EA3F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w:t>
            </w:r>
          </w:p>
        </w:tc>
        <w:tc>
          <w:tcPr>
            <w:tcW w:w="0" w:type="auto"/>
          </w:tcPr>
          <w:p w14:paraId="4A0543C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61%</w:t>
            </w:r>
          </w:p>
        </w:tc>
      </w:tr>
      <w:tr w:rsidR="00FE6874" w:rsidRPr="009927E1" w14:paraId="474D7FB1" w14:textId="77777777" w:rsidTr="00143156">
        <w:tc>
          <w:tcPr>
            <w:tcW w:w="1696" w:type="dxa"/>
          </w:tcPr>
          <w:p w14:paraId="483AF47F"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Türkiye</w:t>
            </w:r>
          </w:p>
        </w:tc>
        <w:tc>
          <w:tcPr>
            <w:tcW w:w="932" w:type="dxa"/>
          </w:tcPr>
          <w:p w14:paraId="18C27C1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1,397</w:t>
            </w:r>
          </w:p>
        </w:tc>
        <w:tc>
          <w:tcPr>
            <w:tcW w:w="0" w:type="auto"/>
          </w:tcPr>
          <w:p w14:paraId="781F2A8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53,940</w:t>
            </w:r>
          </w:p>
        </w:tc>
        <w:tc>
          <w:tcPr>
            <w:tcW w:w="0" w:type="auto"/>
          </w:tcPr>
          <w:p w14:paraId="5EB0B69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8,595</w:t>
            </w:r>
          </w:p>
        </w:tc>
        <w:tc>
          <w:tcPr>
            <w:tcW w:w="0" w:type="auto"/>
          </w:tcPr>
          <w:p w14:paraId="3C59CECB"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550</w:t>
            </w:r>
          </w:p>
        </w:tc>
        <w:tc>
          <w:tcPr>
            <w:tcW w:w="0" w:type="auto"/>
          </w:tcPr>
          <w:p w14:paraId="5C5F18F6"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w:t>
            </w:r>
          </w:p>
        </w:tc>
      </w:tr>
      <w:tr w:rsidR="00FE6874" w:rsidRPr="009927E1" w14:paraId="26187116" w14:textId="77777777" w:rsidTr="00143156">
        <w:tc>
          <w:tcPr>
            <w:tcW w:w="1696" w:type="dxa"/>
          </w:tcPr>
          <w:p w14:paraId="0328797A"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United Kingdom</w:t>
            </w:r>
          </w:p>
        </w:tc>
        <w:tc>
          <w:tcPr>
            <w:tcW w:w="932" w:type="dxa"/>
          </w:tcPr>
          <w:p w14:paraId="42C8FE6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389</w:t>
            </w:r>
          </w:p>
        </w:tc>
        <w:tc>
          <w:tcPr>
            <w:tcW w:w="0" w:type="auto"/>
          </w:tcPr>
          <w:p w14:paraId="33D5BC3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166,060</w:t>
            </w:r>
          </w:p>
        </w:tc>
        <w:tc>
          <w:tcPr>
            <w:tcW w:w="0" w:type="auto"/>
          </w:tcPr>
          <w:p w14:paraId="29A3982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132,240</w:t>
            </w:r>
          </w:p>
        </w:tc>
        <w:tc>
          <w:tcPr>
            <w:tcW w:w="0" w:type="auto"/>
          </w:tcPr>
          <w:p w14:paraId="0410CCC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623</w:t>
            </w:r>
          </w:p>
        </w:tc>
        <w:tc>
          <w:tcPr>
            <w:tcW w:w="0" w:type="auto"/>
          </w:tcPr>
          <w:p w14:paraId="138D12D7"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0%</w:t>
            </w:r>
          </w:p>
        </w:tc>
      </w:tr>
      <w:tr w:rsidR="00FE6874" w:rsidRPr="009927E1" w14:paraId="161405FD" w14:textId="77777777" w:rsidTr="00143156">
        <w:tc>
          <w:tcPr>
            <w:tcW w:w="1696" w:type="dxa"/>
          </w:tcPr>
          <w:p w14:paraId="12B72E90"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OECD 34</w:t>
            </w:r>
          </w:p>
        </w:tc>
        <w:tc>
          <w:tcPr>
            <w:tcW w:w="932" w:type="dxa"/>
          </w:tcPr>
          <w:p w14:paraId="18820E6D"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132,888</w:t>
            </w:r>
          </w:p>
        </w:tc>
        <w:tc>
          <w:tcPr>
            <w:tcW w:w="0" w:type="auto"/>
          </w:tcPr>
          <w:p w14:paraId="50702358"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9,570</w:t>
            </w:r>
          </w:p>
        </w:tc>
        <w:tc>
          <w:tcPr>
            <w:tcW w:w="0" w:type="auto"/>
          </w:tcPr>
          <w:p w14:paraId="7908C633"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n.a.</w:t>
            </w:r>
          </w:p>
        </w:tc>
        <w:tc>
          <w:tcPr>
            <w:tcW w:w="0" w:type="auto"/>
          </w:tcPr>
          <w:p w14:paraId="60A88D8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251</w:t>
            </w:r>
          </w:p>
        </w:tc>
        <w:tc>
          <w:tcPr>
            <w:tcW w:w="0" w:type="auto"/>
          </w:tcPr>
          <w:p w14:paraId="3D4B8AAE"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31%</w:t>
            </w:r>
          </w:p>
        </w:tc>
      </w:tr>
      <w:tr w:rsidR="00FE6874" w:rsidRPr="009927E1" w14:paraId="7B51B0C6" w14:textId="77777777" w:rsidTr="00143156">
        <w:tc>
          <w:tcPr>
            <w:tcW w:w="1696" w:type="dxa"/>
          </w:tcPr>
          <w:p w14:paraId="1936670C" w14:textId="77777777" w:rsidR="00FE6874" w:rsidRPr="009927E1" w:rsidRDefault="00FE6874" w:rsidP="004B7962">
            <w:pPr>
              <w:suppressAutoHyphens/>
              <w:autoSpaceDE w:val="0"/>
              <w:autoSpaceDN w:val="0"/>
              <w:adjustRightInd w:val="0"/>
              <w:jc w:val="both"/>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Romania</w:t>
            </w:r>
          </w:p>
        </w:tc>
        <w:tc>
          <w:tcPr>
            <w:tcW w:w="932" w:type="dxa"/>
          </w:tcPr>
          <w:p w14:paraId="571BEA4F"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3,181</w:t>
            </w:r>
          </w:p>
        </w:tc>
        <w:tc>
          <w:tcPr>
            <w:tcW w:w="0" w:type="auto"/>
          </w:tcPr>
          <w:p w14:paraId="64F8C651"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5,989</w:t>
            </w:r>
          </w:p>
        </w:tc>
        <w:tc>
          <w:tcPr>
            <w:tcW w:w="0" w:type="auto"/>
          </w:tcPr>
          <w:p w14:paraId="36DD07AA"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lang w:val="en-GB"/>
              </w:rPr>
              <w:t>2,892</w:t>
            </w:r>
          </w:p>
        </w:tc>
        <w:tc>
          <w:tcPr>
            <w:tcW w:w="0" w:type="auto"/>
          </w:tcPr>
          <w:p w14:paraId="587BD05C"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74</w:t>
            </w:r>
          </w:p>
        </w:tc>
        <w:tc>
          <w:tcPr>
            <w:tcW w:w="0" w:type="auto"/>
          </w:tcPr>
          <w:p w14:paraId="20F53DD4" w14:textId="77777777" w:rsidR="00FE6874" w:rsidRPr="009927E1" w:rsidRDefault="00FE6874"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31%</w:t>
            </w:r>
          </w:p>
        </w:tc>
      </w:tr>
    </w:tbl>
    <w:p w14:paraId="4044C0A6" w14:textId="6A45FED5" w:rsidR="00FE6874" w:rsidRPr="009927E1" w:rsidRDefault="00FE6874" w:rsidP="006D1A6C">
      <w:pPr>
        <w:suppressAutoHyphens/>
        <w:autoSpaceDE w:val="0"/>
        <w:autoSpaceDN w:val="0"/>
        <w:adjustRightInd w:val="0"/>
        <w:spacing w:after="0" w:line="360" w:lineRule="auto"/>
        <w:jc w:val="both"/>
        <w:textAlignment w:val="center"/>
        <w:rPr>
          <w:rFonts w:ascii="Times New Roman" w:hAnsi="Times New Roman" w:cs="Times New Roman"/>
          <w:color w:val="000000"/>
          <w:lang w:val="en-GB"/>
        </w:rPr>
      </w:pPr>
      <w:r w:rsidRPr="009927E1">
        <w:rPr>
          <w:rFonts w:ascii="Times New Roman" w:hAnsi="Times New Roman" w:cs="Times New Roman"/>
          <w:i/>
          <w:iCs/>
          <w:color w:val="000000"/>
          <w:lang w:val="en-GB"/>
        </w:rPr>
        <w:t>Sources</w:t>
      </w:r>
      <w:r w:rsidRPr="009927E1">
        <w:rPr>
          <w:rFonts w:ascii="Times New Roman" w:hAnsi="Times New Roman" w:cs="Times New Roman"/>
          <w:color w:val="000000"/>
          <w:lang w:val="en-GB"/>
        </w:rPr>
        <w:t>: OECD (201</w:t>
      </w:r>
      <w:r w:rsidR="00076F9C" w:rsidRPr="009927E1">
        <w:rPr>
          <w:rFonts w:ascii="Times New Roman" w:hAnsi="Times New Roman" w:cs="Times New Roman"/>
          <w:color w:val="000000"/>
          <w:lang w:val="en-GB"/>
        </w:rPr>
        <w:t>7:60-61</w:t>
      </w:r>
      <w:r w:rsidRPr="009927E1">
        <w:rPr>
          <w:rFonts w:ascii="Times New Roman" w:hAnsi="Times New Roman" w:cs="Times New Roman"/>
          <w:color w:val="000000"/>
          <w:lang w:val="en-GB"/>
        </w:rPr>
        <w:t>)</w:t>
      </w:r>
      <w:r w:rsidR="00076F9C" w:rsidRPr="009927E1">
        <w:rPr>
          <w:rFonts w:ascii="Times New Roman" w:hAnsi="Times New Roman" w:cs="Times New Roman"/>
          <w:color w:val="000000"/>
          <w:lang w:val="en-GB"/>
        </w:rPr>
        <w:t>; author’s analysis on Population census 2021</w:t>
      </w:r>
      <w:r w:rsidR="00484E17" w:rsidRPr="009927E1">
        <w:rPr>
          <w:rFonts w:ascii="Times New Roman" w:hAnsi="Times New Roman" w:cs="Times New Roman"/>
          <w:color w:val="000000"/>
          <w:lang w:val="en-GB"/>
        </w:rPr>
        <w:t xml:space="preserve"> (Tab1.22_RPL2021)</w:t>
      </w:r>
      <w:r w:rsidR="00076F9C" w:rsidRPr="009927E1">
        <w:rPr>
          <w:rFonts w:ascii="Times New Roman" w:hAnsi="Times New Roman" w:cs="Times New Roman"/>
          <w:color w:val="000000"/>
          <w:lang w:val="en-GB"/>
        </w:rPr>
        <w:t xml:space="preserve">. </w:t>
      </w:r>
    </w:p>
    <w:p w14:paraId="289F7C2B" w14:textId="481D0798" w:rsidR="00FE6874" w:rsidRPr="009927E1" w:rsidRDefault="00FE6874" w:rsidP="006D1A6C">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The date presented in the </w:t>
      </w:r>
      <w:r w:rsidR="00300AC5" w:rsidRPr="009927E1">
        <w:rPr>
          <w:rFonts w:ascii="Times New Roman" w:hAnsi="Times New Roman" w:cs="Times New Roman"/>
          <w:i/>
          <w:iCs/>
          <w:color w:val="000000"/>
          <w:sz w:val="24"/>
          <w:szCs w:val="24"/>
          <w:lang w:val="en-GB"/>
        </w:rPr>
        <w:t>T</w:t>
      </w:r>
      <w:r w:rsidRPr="009927E1">
        <w:rPr>
          <w:rFonts w:ascii="Times New Roman" w:hAnsi="Times New Roman" w:cs="Times New Roman"/>
          <w:i/>
          <w:iCs/>
          <w:color w:val="000000"/>
          <w:sz w:val="24"/>
          <w:szCs w:val="24"/>
          <w:lang w:val="en-GB"/>
        </w:rPr>
        <w:t>able</w:t>
      </w:r>
      <w:r w:rsidR="00300AC5" w:rsidRPr="009927E1">
        <w:rPr>
          <w:rFonts w:ascii="Times New Roman" w:hAnsi="Times New Roman" w:cs="Times New Roman"/>
          <w:i/>
          <w:iCs/>
          <w:color w:val="000000"/>
          <w:sz w:val="24"/>
          <w:szCs w:val="24"/>
          <w:lang w:val="en-GB"/>
        </w:rPr>
        <w:t xml:space="preserve"> </w:t>
      </w:r>
      <w:r w:rsidR="002801A2">
        <w:rPr>
          <w:rFonts w:ascii="Times New Roman" w:hAnsi="Times New Roman" w:cs="Times New Roman"/>
          <w:i/>
          <w:iCs/>
          <w:color w:val="000000"/>
          <w:sz w:val="24"/>
          <w:szCs w:val="24"/>
          <w:lang w:val="en-GB"/>
        </w:rPr>
        <w:t>1</w:t>
      </w:r>
      <w:r w:rsidRPr="009927E1">
        <w:rPr>
          <w:rFonts w:ascii="Times New Roman" w:hAnsi="Times New Roman" w:cs="Times New Roman"/>
          <w:color w:val="000000"/>
          <w:sz w:val="24"/>
          <w:szCs w:val="24"/>
          <w:lang w:val="en-GB"/>
        </w:rPr>
        <w:t xml:space="preserve"> gives us some valuable information regarding </w:t>
      </w:r>
      <w:r w:rsidR="00351C75" w:rsidRPr="009927E1">
        <w:rPr>
          <w:rFonts w:ascii="Times New Roman" w:hAnsi="Times New Roman" w:cs="Times New Roman"/>
          <w:color w:val="000000"/>
          <w:sz w:val="24"/>
          <w:szCs w:val="24"/>
          <w:lang w:val="en-GB"/>
        </w:rPr>
        <w:t xml:space="preserve">current </w:t>
      </w:r>
      <w:r w:rsidRPr="009927E1">
        <w:rPr>
          <w:rFonts w:ascii="Times New Roman" w:hAnsi="Times New Roman" w:cs="Times New Roman"/>
          <w:color w:val="000000"/>
          <w:sz w:val="24"/>
          <w:szCs w:val="24"/>
          <w:lang w:val="en-GB"/>
        </w:rPr>
        <w:t xml:space="preserve">situation from different </w:t>
      </w:r>
      <w:r w:rsidR="00351C75" w:rsidRPr="009927E1">
        <w:rPr>
          <w:rFonts w:ascii="Times New Roman" w:hAnsi="Times New Roman" w:cs="Times New Roman"/>
          <w:color w:val="000000"/>
          <w:sz w:val="24"/>
          <w:szCs w:val="24"/>
          <w:lang w:val="en-GB"/>
        </w:rPr>
        <w:t xml:space="preserve">European </w:t>
      </w:r>
      <w:r w:rsidRPr="009927E1">
        <w:rPr>
          <w:rFonts w:ascii="Times New Roman" w:hAnsi="Times New Roman" w:cs="Times New Roman"/>
          <w:color w:val="000000"/>
          <w:sz w:val="24"/>
          <w:szCs w:val="24"/>
          <w:lang w:val="en-GB"/>
        </w:rPr>
        <w:t xml:space="preserve">countries: the average </w:t>
      </w:r>
      <w:r w:rsidR="00351C75" w:rsidRPr="009927E1">
        <w:rPr>
          <w:rFonts w:ascii="Times New Roman" w:hAnsi="Times New Roman" w:cs="Times New Roman"/>
          <w:color w:val="000000"/>
          <w:sz w:val="24"/>
          <w:szCs w:val="24"/>
          <w:lang w:val="en-GB"/>
        </w:rPr>
        <w:t xml:space="preserve">municipal </w:t>
      </w:r>
      <w:r w:rsidRPr="009927E1">
        <w:rPr>
          <w:rFonts w:ascii="Times New Roman" w:hAnsi="Times New Roman" w:cs="Times New Roman"/>
          <w:color w:val="000000"/>
          <w:sz w:val="24"/>
          <w:szCs w:val="24"/>
          <w:lang w:val="en-GB"/>
        </w:rPr>
        <w:t xml:space="preserve">size </w:t>
      </w:r>
      <w:r w:rsidR="00351C75" w:rsidRPr="009927E1">
        <w:rPr>
          <w:rFonts w:ascii="Times New Roman" w:hAnsi="Times New Roman" w:cs="Times New Roman"/>
          <w:color w:val="000000"/>
          <w:sz w:val="24"/>
          <w:szCs w:val="24"/>
          <w:lang w:val="en-GB"/>
        </w:rPr>
        <w:t xml:space="preserve">(number </w:t>
      </w:r>
      <w:r w:rsidRPr="009927E1">
        <w:rPr>
          <w:rFonts w:ascii="Times New Roman" w:hAnsi="Times New Roman" w:cs="Times New Roman"/>
          <w:color w:val="000000"/>
          <w:sz w:val="24"/>
          <w:szCs w:val="24"/>
          <w:lang w:val="en-GB"/>
        </w:rPr>
        <w:t>of inhabitants</w:t>
      </w:r>
      <w:r w:rsidR="00351C75" w:rsidRPr="009927E1">
        <w:rPr>
          <w:rFonts w:ascii="Times New Roman" w:hAnsi="Times New Roman" w:cs="Times New Roman"/>
          <w:color w:val="000000"/>
          <w:sz w:val="24"/>
          <w:szCs w:val="24"/>
          <w:lang w:val="en-GB"/>
        </w:rPr>
        <w:t>)</w:t>
      </w:r>
      <w:r w:rsidRPr="009927E1">
        <w:rPr>
          <w:rFonts w:ascii="Times New Roman" w:hAnsi="Times New Roman" w:cs="Times New Roman"/>
          <w:color w:val="000000"/>
          <w:sz w:val="24"/>
          <w:szCs w:val="24"/>
          <w:lang w:val="en-GB"/>
        </w:rPr>
        <w:t xml:space="preserve"> for Romania is over </w:t>
      </w:r>
      <w:r w:rsidR="00CC3A32">
        <w:rPr>
          <w:rFonts w:ascii="Times New Roman" w:hAnsi="Times New Roman" w:cs="Times New Roman"/>
          <w:color w:val="000000"/>
          <w:sz w:val="24"/>
          <w:szCs w:val="24"/>
          <w:lang w:val="en-GB"/>
        </w:rPr>
        <w:t>62%</w:t>
      </w:r>
      <w:r w:rsidRPr="009927E1">
        <w:rPr>
          <w:rFonts w:ascii="Times New Roman" w:hAnsi="Times New Roman" w:cs="Times New Roman"/>
          <w:color w:val="000000"/>
          <w:sz w:val="24"/>
          <w:szCs w:val="24"/>
          <w:lang w:val="en-GB"/>
        </w:rPr>
        <w:t xml:space="preserve"> of </w:t>
      </w:r>
      <w:r w:rsidR="00E477BC">
        <w:rPr>
          <w:rFonts w:ascii="Times New Roman" w:hAnsi="Times New Roman" w:cs="Times New Roman"/>
          <w:color w:val="000000"/>
          <w:sz w:val="24"/>
          <w:szCs w:val="24"/>
          <w:lang w:val="en-GB"/>
        </w:rPr>
        <w:t xml:space="preserve">the </w:t>
      </w:r>
      <w:r w:rsidRPr="009927E1">
        <w:rPr>
          <w:rFonts w:ascii="Times New Roman" w:hAnsi="Times New Roman" w:cs="Times New Roman"/>
          <w:color w:val="000000"/>
          <w:sz w:val="24"/>
          <w:szCs w:val="24"/>
          <w:lang w:val="en-GB"/>
        </w:rPr>
        <w:t>OECD 34 countries</w:t>
      </w:r>
      <w:r w:rsidR="00351C75" w:rsidRPr="009927E1">
        <w:rPr>
          <w:rFonts w:ascii="Times New Roman" w:hAnsi="Times New Roman" w:cs="Times New Roman"/>
          <w:color w:val="000000"/>
          <w:sz w:val="24"/>
          <w:szCs w:val="24"/>
          <w:lang w:val="en-GB"/>
        </w:rPr>
        <w:t xml:space="preserve"> average</w:t>
      </w:r>
      <w:r w:rsidRPr="009927E1">
        <w:rPr>
          <w:rFonts w:ascii="Times New Roman" w:hAnsi="Times New Roman" w:cs="Times New Roman"/>
          <w:color w:val="000000"/>
          <w:sz w:val="24"/>
          <w:szCs w:val="24"/>
          <w:lang w:val="en-GB"/>
        </w:rPr>
        <w:t xml:space="preserve">, and </w:t>
      </w:r>
      <w:r w:rsidR="00CC3A32">
        <w:rPr>
          <w:rFonts w:ascii="Times New Roman" w:hAnsi="Times New Roman" w:cs="Times New Roman"/>
          <w:color w:val="000000"/>
          <w:sz w:val="24"/>
          <w:szCs w:val="24"/>
          <w:lang w:val="en-GB"/>
        </w:rPr>
        <w:t>larger</w:t>
      </w:r>
      <w:r w:rsidRPr="009927E1">
        <w:rPr>
          <w:rFonts w:ascii="Times New Roman" w:hAnsi="Times New Roman" w:cs="Times New Roman"/>
          <w:color w:val="000000"/>
          <w:sz w:val="24"/>
          <w:szCs w:val="24"/>
          <w:lang w:val="en-GB"/>
        </w:rPr>
        <w:t xml:space="preserve"> tha</w:t>
      </w:r>
      <w:r w:rsidR="00CC3A32">
        <w:rPr>
          <w:rFonts w:ascii="Times New Roman" w:hAnsi="Times New Roman" w:cs="Times New Roman"/>
          <w:color w:val="000000"/>
          <w:sz w:val="24"/>
          <w:szCs w:val="24"/>
          <w:lang w:val="en-GB"/>
        </w:rPr>
        <w:t>n</w:t>
      </w:r>
      <w:r w:rsidRPr="009927E1">
        <w:rPr>
          <w:rFonts w:ascii="Times New Roman" w:hAnsi="Times New Roman" w:cs="Times New Roman"/>
          <w:color w:val="000000"/>
          <w:sz w:val="24"/>
          <w:szCs w:val="24"/>
          <w:lang w:val="en-GB"/>
        </w:rPr>
        <w:t xml:space="preserve"> in </w:t>
      </w:r>
      <w:r w:rsidR="00351C75" w:rsidRPr="009927E1">
        <w:rPr>
          <w:rFonts w:ascii="Times New Roman" w:hAnsi="Times New Roman" w:cs="Times New Roman"/>
          <w:color w:val="000000"/>
          <w:sz w:val="24"/>
          <w:szCs w:val="24"/>
          <w:lang w:val="en-GB"/>
        </w:rPr>
        <w:t xml:space="preserve">countries such </w:t>
      </w:r>
      <w:r w:rsidRPr="009927E1">
        <w:rPr>
          <w:rFonts w:ascii="Times New Roman" w:hAnsi="Times New Roman" w:cs="Times New Roman"/>
          <w:color w:val="000000"/>
          <w:sz w:val="24"/>
          <w:szCs w:val="24"/>
          <w:lang w:val="en-GB"/>
        </w:rPr>
        <w:t>Austria, Czech Republic, France, Iceland, Hungary, Luxemburg, Slovak Republic, Spain or Switzerland. When we look to median municipal size and to the percentage of the municipalities with less than 2,000 inhabitants, used as indicator of fragmentation, we observe that Romania has 2,892 inhabitants median municipal size, respectively 31% of municipalities with less than 2,000 inhabitants</w:t>
      </w:r>
      <w:r w:rsidR="00F80366">
        <w:rPr>
          <w:rFonts w:ascii="Times New Roman" w:hAnsi="Times New Roman" w:cs="Times New Roman"/>
          <w:color w:val="000000"/>
          <w:sz w:val="24"/>
          <w:szCs w:val="24"/>
          <w:lang w:val="en-GB"/>
        </w:rPr>
        <w:t xml:space="preserve">, </w:t>
      </w:r>
      <w:r w:rsidR="00300AC5" w:rsidRPr="009927E1">
        <w:rPr>
          <w:rFonts w:ascii="Times New Roman" w:hAnsi="Times New Roman" w:cs="Times New Roman"/>
          <w:color w:val="000000"/>
          <w:sz w:val="24"/>
          <w:szCs w:val="24"/>
          <w:lang w:val="en-GB"/>
        </w:rPr>
        <w:t>show</w:t>
      </w:r>
      <w:r w:rsidR="00F80366">
        <w:rPr>
          <w:rFonts w:ascii="Times New Roman" w:hAnsi="Times New Roman" w:cs="Times New Roman"/>
          <w:color w:val="000000"/>
          <w:sz w:val="24"/>
          <w:szCs w:val="24"/>
          <w:lang w:val="en-GB"/>
        </w:rPr>
        <w:t>ing</w:t>
      </w:r>
      <w:r w:rsidRPr="009927E1">
        <w:rPr>
          <w:rFonts w:ascii="Times New Roman" w:hAnsi="Times New Roman" w:cs="Times New Roman"/>
          <w:color w:val="000000"/>
          <w:sz w:val="24"/>
          <w:szCs w:val="24"/>
          <w:lang w:val="en-GB"/>
        </w:rPr>
        <w:t xml:space="preserve"> less fragmentation as in the above-mentioned countries, but also better than in case of Estonia, Germany, or Italy, countries that have a higher average number of population per municipality</w:t>
      </w:r>
      <w:r w:rsidR="00E477BC">
        <w:rPr>
          <w:rFonts w:ascii="Times New Roman" w:hAnsi="Times New Roman" w:cs="Times New Roman"/>
          <w:color w:val="000000"/>
          <w:sz w:val="24"/>
          <w:szCs w:val="24"/>
          <w:lang w:val="en-GB"/>
        </w:rPr>
        <w:t xml:space="preserve"> then our country</w:t>
      </w:r>
      <w:r w:rsidRPr="009927E1">
        <w:rPr>
          <w:rFonts w:ascii="Times New Roman" w:hAnsi="Times New Roman" w:cs="Times New Roman"/>
          <w:color w:val="000000"/>
          <w:sz w:val="24"/>
          <w:szCs w:val="24"/>
          <w:lang w:val="en-GB"/>
        </w:rPr>
        <w:t>. Similar situation can be observed related to average municipal areas</w:t>
      </w:r>
      <w:r w:rsidR="00351C75" w:rsidRPr="009927E1">
        <w:rPr>
          <w:rFonts w:ascii="Times New Roman" w:hAnsi="Times New Roman" w:cs="Times New Roman"/>
          <w:color w:val="000000"/>
          <w:sz w:val="24"/>
          <w:szCs w:val="24"/>
          <w:lang w:val="en-GB"/>
        </w:rPr>
        <w:t xml:space="preserve">, the data showing </w:t>
      </w:r>
      <w:r w:rsidR="009C572F" w:rsidRPr="009927E1">
        <w:rPr>
          <w:rFonts w:ascii="Times New Roman" w:hAnsi="Times New Roman" w:cs="Times New Roman"/>
          <w:color w:val="000000"/>
          <w:sz w:val="24"/>
          <w:szCs w:val="24"/>
          <w:lang w:val="en-GB"/>
        </w:rPr>
        <w:t>a moderate</w:t>
      </w:r>
      <w:r w:rsidR="00351C75" w:rsidRPr="009927E1">
        <w:rPr>
          <w:rFonts w:ascii="Times New Roman" w:hAnsi="Times New Roman" w:cs="Times New Roman"/>
          <w:color w:val="000000"/>
          <w:sz w:val="24"/>
          <w:szCs w:val="24"/>
          <w:lang w:val="en-GB"/>
        </w:rPr>
        <w:t xml:space="preserve"> degree of fragmentation</w:t>
      </w:r>
      <w:r w:rsidR="009C572F" w:rsidRPr="009927E1">
        <w:rPr>
          <w:rFonts w:ascii="Times New Roman" w:hAnsi="Times New Roman" w:cs="Times New Roman"/>
          <w:color w:val="000000"/>
          <w:sz w:val="24"/>
          <w:szCs w:val="24"/>
          <w:lang w:val="en-GB"/>
        </w:rPr>
        <w:t xml:space="preserve">, at least compared with </w:t>
      </w:r>
      <w:r w:rsidR="00BF4DB5">
        <w:rPr>
          <w:rFonts w:ascii="Times New Roman" w:hAnsi="Times New Roman" w:cs="Times New Roman"/>
          <w:color w:val="000000"/>
          <w:sz w:val="24"/>
          <w:szCs w:val="24"/>
          <w:lang w:val="en-GB"/>
        </w:rPr>
        <w:t>most of</w:t>
      </w:r>
      <w:r w:rsidR="00F80366">
        <w:rPr>
          <w:rFonts w:ascii="Times New Roman" w:hAnsi="Times New Roman" w:cs="Times New Roman"/>
          <w:color w:val="000000"/>
          <w:sz w:val="24"/>
          <w:szCs w:val="24"/>
          <w:lang w:val="en-GB"/>
        </w:rPr>
        <w:t xml:space="preserve"> the</w:t>
      </w:r>
      <w:r w:rsidR="00300AC5" w:rsidRPr="009927E1">
        <w:rPr>
          <w:rFonts w:ascii="Times New Roman" w:hAnsi="Times New Roman" w:cs="Times New Roman"/>
          <w:color w:val="000000"/>
          <w:sz w:val="24"/>
          <w:szCs w:val="24"/>
          <w:lang w:val="en-GB"/>
        </w:rPr>
        <w:t xml:space="preserve"> </w:t>
      </w:r>
      <w:r w:rsidR="007B438D">
        <w:rPr>
          <w:rFonts w:ascii="Times New Roman" w:hAnsi="Times New Roman" w:cs="Times New Roman"/>
          <w:color w:val="000000"/>
          <w:sz w:val="24"/>
          <w:szCs w:val="24"/>
          <w:lang w:val="en-GB"/>
        </w:rPr>
        <w:t xml:space="preserve">European </w:t>
      </w:r>
      <w:r w:rsidR="009C572F" w:rsidRPr="009927E1">
        <w:rPr>
          <w:rFonts w:ascii="Times New Roman" w:hAnsi="Times New Roman" w:cs="Times New Roman"/>
          <w:color w:val="000000"/>
          <w:sz w:val="24"/>
          <w:szCs w:val="24"/>
          <w:lang w:val="en-GB"/>
        </w:rPr>
        <w:t>countries.</w:t>
      </w:r>
    </w:p>
    <w:p w14:paraId="096B4BA0" w14:textId="09A453A3" w:rsidR="00FE6874" w:rsidRPr="009927E1" w:rsidRDefault="009C572F" w:rsidP="00FE6874">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sz w:val="24"/>
          <w:szCs w:val="24"/>
          <w:lang w:val="en-GB"/>
        </w:rPr>
        <w:t>Another important indicator of fragmentation is m</w:t>
      </w:r>
      <w:r w:rsidR="00FE6874" w:rsidRPr="009927E1">
        <w:rPr>
          <w:rFonts w:ascii="Times New Roman" w:hAnsi="Times New Roman" w:cs="Times New Roman"/>
          <w:sz w:val="24"/>
          <w:szCs w:val="24"/>
          <w:lang w:val="en-GB"/>
        </w:rPr>
        <w:t xml:space="preserve">unicipal fragmentation index </w:t>
      </w:r>
      <w:r w:rsidRPr="009927E1">
        <w:rPr>
          <w:rFonts w:ascii="Times New Roman" w:hAnsi="Times New Roman" w:cs="Times New Roman"/>
          <w:sz w:val="24"/>
          <w:szCs w:val="24"/>
          <w:lang w:val="en-GB"/>
        </w:rPr>
        <w:t xml:space="preserve">that </w:t>
      </w:r>
      <w:r w:rsidR="00FE6874" w:rsidRPr="009927E1">
        <w:rPr>
          <w:rFonts w:ascii="Times New Roman" w:hAnsi="Times New Roman" w:cs="Times New Roman"/>
          <w:sz w:val="24"/>
          <w:szCs w:val="24"/>
          <w:lang w:val="en-GB"/>
        </w:rPr>
        <w:t>reflects</w:t>
      </w:r>
      <w:r w:rsidR="00FE6874" w:rsidRPr="009927E1">
        <w:rPr>
          <w:rFonts w:ascii="Times New Roman" w:hAnsi="Times New Roman" w:cs="Times New Roman"/>
          <w:color w:val="000000"/>
          <w:sz w:val="24"/>
          <w:szCs w:val="24"/>
          <w:lang w:val="en-GB"/>
        </w:rPr>
        <w:t xml:space="preserve"> the number of municipalities per 100,000 inhabitants, a smaller number meaning </w:t>
      </w:r>
      <w:r w:rsidRPr="009927E1">
        <w:rPr>
          <w:rFonts w:ascii="Times New Roman" w:hAnsi="Times New Roman" w:cs="Times New Roman"/>
          <w:color w:val="000000"/>
          <w:sz w:val="24"/>
          <w:szCs w:val="24"/>
          <w:lang w:val="en-GB"/>
        </w:rPr>
        <w:t>a low degree of</w:t>
      </w:r>
      <w:r w:rsidR="00FE6874" w:rsidRPr="009927E1">
        <w:rPr>
          <w:rFonts w:ascii="Times New Roman" w:hAnsi="Times New Roman" w:cs="Times New Roman"/>
          <w:color w:val="000000"/>
          <w:sz w:val="24"/>
          <w:szCs w:val="24"/>
          <w:lang w:val="en-GB"/>
        </w:rPr>
        <w:t xml:space="preserve"> fragmentation. According to </w:t>
      </w:r>
      <w:r w:rsidR="00CC1595">
        <w:rPr>
          <w:rFonts w:ascii="Times New Roman" w:hAnsi="Times New Roman" w:cs="Times New Roman"/>
          <w:color w:val="000000"/>
          <w:sz w:val="24"/>
          <w:szCs w:val="24"/>
          <w:lang w:val="en-GB"/>
        </w:rPr>
        <w:t xml:space="preserve">the </w:t>
      </w:r>
      <w:r w:rsidR="00FE6874" w:rsidRPr="009927E1">
        <w:rPr>
          <w:rFonts w:ascii="Times New Roman" w:hAnsi="Times New Roman" w:cs="Times New Roman"/>
          <w:color w:val="000000"/>
          <w:sz w:val="24"/>
          <w:szCs w:val="24"/>
          <w:lang w:val="en-GB"/>
        </w:rPr>
        <w:t>OECD (2014: 269), the average for the members of the organization is 11 and 17,6 for UE27. If we calculate the municipal fragmentation for Romania we obtain 16,7 municipalities per 100,000 inhabitants, almost 1% less then UE27</w:t>
      </w:r>
      <w:r w:rsidR="00E477BC">
        <w:rPr>
          <w:rFonts w:ascii="Times New Roman" w:hAnsi="Times New Roman" w:cs="Times New Roman"/>
          <w:color w:val="000000"/>
          <w:sz w:val="24"/>
          <w:szCs w:val="24"/>
          <w:lang w:val="en-GB"/>
        </w:rPr>
        <w:t xml:space="preserve"> average</w:t>
      </w:r>
      <w:r w:rsidR="00FE6874" w:rsidRPr="009927E1">
        <w:rPr>
          <w:rFonts w:ascii="Times New Roman" w:hAnsi="Times New Roman" w:cs="Times New Roman"/>
          <w:color w:val="000000"/>
          <w:sz w:val="24"/>
          <w:szCs w:val="24"/>
          <w:lang w:val="en-GB"/>
        </w:rPr>
        <w:t xml:space="preserve">, </w:t>
      </w:r>
      <w:r w:rsidRPr="009927E1">
        <w:rPr>
          <w:rFonts w:ascii="Times New Roman" w:hAnsi="Times New Roman" w:cs="Times New Roman"/>
          <w:color w:val="000000"/>
          <w:sz w:val="24"/>
          <w:szCs w:val="24"/>
          <w:lang w:val="en-GB"/>
        </w:rPr>
        <w:t xml:space="preserve">again </w:t>
      </w:r>
      <w:r w:rsidR="00FE6874" w:rsidRPr="009927E1">
        <w:rPr>
          <w:rFonts w:ascii="Times New Roman" w:hAnsi="Times New Roman" w:cs="Times New Roman"/>
          <w:color w:val="000000"/>
          <w:sz w:val="24"/>
          <w:szCs w:val="24"/>
          <w:lang w:val="en-GB"/>
        </w:rPr>
        <w:t xml:space="preserve">close to that of </w:t>
      </w:r>
      <w:r w:rsidR="00E477BC">
        <w:rPr>
          <w:rFonts w:ascii="Times New Roman" w:hAnsi="Times New Roman" w:cs="Times New Roman"/>
          <w:color w:val="000000"/>
          <w:sz w:val="24"/>
          <w:szCs w:val="24"/>
          <w:lang w:val="en-GB"/>
        </w:rPr>
        <w:t xml:space="preserve">countries as </w:t>
      </w:r>
      <w:r w:rsidR="00FE6874" w:rsidRPr="009927E1">
        <w:rPr>
          <w:rFonts w:ascii="Times New Roman" w:hAnsi="Times New Roman" w:cs="Times New Roman"/>
          <w:color w:val="000000"/>
          <w:sz w:val="24"/>
          <w:szCs w:val="24"/>
          <w:lang w:val="en-GB"/>
        </w:rPr>
        <w:t>Spain, Estonia, Germany, Italy, and under other European states like Luxemburg, Iceland, Austria, Switzerland, Hungary (</w:t>
      </w:r>
      <w:r w:rsidR="00E477BC">
        <w:rPr>
          <w:rFonts w:ascii="Times New Roman" w:hAnsi="Times New Roman" w:cs="Times New Roman"/>
          <w:color w:val="000000"/>
          <w:sz w:val="24"/>
          <w:szCs w:val="24"/>
          <w:lang w:val="en-GB"/>
        </w:rPr>
        <w:t xml:space="preserve">with </w:t>
      </w:r>
      <w:r w:rsidR="00FE6874" w:rsidRPr="009927E1">
        <w:rPr>
          <w:rFonts w:ascii="Times New Roman" w:hAnsi="Times New Roman" w:cs="Times New Roman"/>
          <w:color w:val="000000"/>
          <w:sz w:val="24"/>
          <w:szCs w:val="24"/>
          <w:lang w:val="en-GB"/>
        </w:rPr>
        <w:t>20-30 municipalities) or Slovak Republic, France and Czech Republic (</w:t>
      </w:r>
      <w:r w:rsidR="00E477BC">
        <w:rPr>
          <w:rFonts w:ascii="Times New Roman" w:hAnsi="Times New Roman" w:cs="Times New Roman"/>
          <w:color w:val="000000"/>
          <w:sz w:val="24"/>
          <w:szCs w:val="24"/>
          <w:lang w:val="en-GB"/>
        </w:rPr>
        <w:t xml:space="preserve">with </w:t>
      </w:r>
      <w:r w:rsidR="00FE6874" w:rsidRPr="009927E1">
        <w:rPr>
          <w:rFonts w:ascii="Times New Roman" w:hAnsi="Times New Roman" w:cs="Times New Roman"/>
          <w:color w:val="000000"/>
          <w:sz w:val="24"/>
          <w:szCs w:val="24"/>
          <w:lang w:val="en-GB"/>
        </w:rPr>
        <w:t>50-60 municipalities).</w:t>
      </w:r>
    </w:p>
    <w:p w14:paraId="02059AF1" w14:textId="53BD6A87" w:rsidR="007D0C38" w:rsidRPr="009927E1" w:rsidRDefault="00787137" w:rsidP="00D2010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But t</w:t>
      </w:r>
      <w:r w:rsidR="007D0C38" w:rsidRPr="009927E1">
        <w:rPr>
          <w:rFonts w:ascii="Times New Roman" w:hAnsi="Times New Roman" w:cs="Times New Roman"/>
          <w:color w:val="000000"/>
          <w:sz w:val="24"/>
          <w:szCs w:val="24"/>
          <w:lang w:val="en-GB"/>
        </w:rPr>
        <w:t>he argument</w:t>
      </w:r>
      <w:r w:rsidR="00D20100" w:rsidRPr="009927E1">
        <w:rPr>
          <w:rFonts w:ascii="Times New Roman" w:hAnsi="Times New Roman" w:cs="Times New Roman"/>
          <w:color w:val="000000"/>
          <w:sz w:val="24"/>
          <w:szCs w:val="24"/>
          <w:lang w:val="en-GB"/>
        </w:rPr>
        <w:t xml:space="preserve"> of fragmentation </w:t>
      </w:r>
      <w:r w:rsidR="007D0C38" w:rsidRPr="009927E1">
        <w:rPr>
          <w:rFonts w:ascii="Times New Roman" w:hAnsi="Times New Roman" w:cs="Times New Roman"/>
          <w:color w:val="000000"/>
          <w:sz w:val="24"/>
          <w:szCs w:val="24"/>
          <w:lang w:val="en-GB"/>
        </w:rPr>
        <w:t>was</w:t>
      </w:r>
      <w:r w:rsidR="00D20100" w:rsidRPr="009927E1">
        <w:rPr>
          <w:rFonts w:ascii="Times New Roman" w:hAnsi="Times New Roman" w:cs="Times New Roman"/>
          <w:color w:val="000000"/>
          <w:sz w:val="24"/>
          <w:szCs w:val="24"/>
          <w:lang w:val="en-GB"/>
        </w:rPr>
        <w:t xml:space="preserve"> not </w:t>
      </w:r>
      <w:r w:rsidR="007D0C38" w:rsidRPr="009927E1">
        <w:rPr>
          <w:rFonts w:ascii="Times New Roman" w:hAnsi="Times New Roman" w:cs="Times New Roman"/>
          <w:color w:val="000000"/>
          <w:sz w:val="24"/>
          <w:szCs w:val="24"/>
          <w:lang w:val="en-GB"/>
        </w:rPr>
        <w:t>always</w:t>
      </w:r>
      <w:r w:rsidR="00D20100" w:rsidRPr="009927E1">
        <w:rPr>
          <w:rFonts w:ascii="Times New Roman" w:hAnsi="Times New Roman" w:cs="Times New Roman"/>
          <w:color w:val="000000"/>
          <w:sz w:val="24"/>
          <w:szCs w:val="24"/>
          <w:lang w:val="en-GB"/>
        </w:rPr>
        <w:t xml:space="preserve"> important</w:t>
      </w:r>
      <w:r w:rsidR="007D0C38" w:rsidRPr="009927E1">
        <w:rPr>
          <w:rFonts w:ascii="Times New Roman" w:hAnsi="Times New Roman" w:cs="Times New Roman"/>
          <w:color w:val="000000"/>
          <w:sz w:val="24"/>
          <w:szCs w:val="24"/>
          <w:lang w:val="en-GB"/>
        </w:rPr>
        <w:t xml:space="preserve"> for reform</w:t>
      </w:r>
      <w:r w:rsidRPr="009927E1">
        <w:rPr>
          <w:rFonts w:ascii="Times New Roman" w:hAnsi="Times New Roman" w:cs="Times New Roman"/>
          <w:color w:val="000000"/>
          <w:sz w:val="24"/>
          <w:szCs w:val="24"/>
          <w:lang w:val="en-GB"/>
        </w:rPr>
        <w:t>er</w:t>
      </w:r>
      <w:r w:rsidR="007D0C38" w:rsidRPr="009927E1">
        <w:rPr>
          <w:rFonts w:ascii="Times New Roman" w:hAnsi="Times New Roman" w:cs="Times New Roman"/>
          <w:color w:val="000000"/>
          <w:sz w:val="24"/>
          <w:szCs w:val="24"/>
          <w:lang w:val="en-GB"/>
        </w:rPr>
        <w:t xml:space="preserve">s: </w:t>
      </w:r>
      <w:r w:rsidR="005F22FA" w:rsidRPr="009927E1">
        <w:rPr>
          <w:rFonts w:ascii="Times New Roman" w:hAnsi="Times New Roman" w:cs="Times New Roman"/>
          <w:color w:val="000000"/>
          <w:sz w:val="24"/>
          <w:szCs w:val="24"/>
          <w:lang w:val="en-GB"/>
        </w:rPr>
        <w:t>Hlepas (2010) shows that</w:t>
      </w:r>
      <w:r w:rsidR="00EE1D56" w:rsidRPr="009927E1">
        <w:rPr>
          <w:rFonts w:ascii="Times New Roman" w:hAnsi="Times New Roman" w:cs="Times New Roman"/>
          <w:color w:val="000000"/>
          <w:sz w:val="24"/>
          <w:szCs w:val="24"/>
          <w:lang w:val="en-GB"/>
        </w:rPr>
        <w:t>,</w:t>
      </w:r>
      <w:r w:rsidR="005F22FA" w:rsidRPr="009927E1">
        <w:rPr>
          <w:rFonts w:ascii="Times New Roman" w:hAnsi="Times New Roman" w:cs="Times New Roman"/>
          <w:color w:val="000000"/>
          <w:sz w:val="24"/>
          <w:szCs w:val="24"/>
          <w:lang w:val="en-GB"/>
        </w:rPr>
        <w:t xml:space="preserve"> </w:t>
      </w:r>
      <w:r w:rsidR="007D0C38" w:rsidRPr="009927E1">
        <w:rPr>
          <w:rFonts w:ascii="Times New Roman" w:hAnsi="Times New Roman" w:cs="Times New Roman"/>
          <w:color w:val="000000"/>
          <w:sz w:val="24"/>
          <w:szCs w:val="24"/>
          <w:lang w:val="en-GB"/>
        </w:rPr>
        <w:t>in</w:t>
      </w:r>
      <w:r w:rsidR="00D20100" w:rsidRPr="009927E1">
        <w:rPr>
          <w:rFonts w:ascii="Times New Roman" w:hAnsi="Times New Roman" w:cs="Times New Roman"/>
          <w:color w:val="000000"/>
          <w:sz w:val="24"/>
          <w:szCs w:val="24"/>
          <w:lang w:val="en-GB"/>
        </w:rPr>
        <w:t xml:space="preserve"> Greece, th</w:t>
      </w:r>
      <w:r w:rsidR="007D0C38" w:rsidRPr="009927E1">
        <w:rPr>
          <w:rFonts w:ascii="Times New Roman" w:hAnsi="Times New Roman" w:cs="Times New Roman"/>
          <w:color w:val="000000"/>
          <w:sz w:val="24"/>
          <w:szCs w:val="24"/>
          <w:lang w:val="en-GB"/>
        </w:rPr>
        <w:t>e</w:t>
      </w:r>
      <w:r w:rsidR="00D20100" w:rsidRPr="009927E1">
        <w:rPr>
          <w:rFonts w:ascii="Times New Roman" w:hAnsi="Times New Roman" w:cs="Times New Roman"/>
          <w:color w:val="000000"/>
          <w:sz w:val="24"/>
          <w:szCs w:val="24"/>
          <w:lang w:val="en-GB"/>
        </w:rPr>
        <w:t xml:space="preserve"> radical</w:t>
      </w:r>
      <w:r w:rsidR="007D0C38" w:rsidRPr="009927E1">
        <w:rPr>
          <w:rFonts w:ascii="Times New Roman" w:hAnsi="Times New Roman" w:cs="Times New Roman"/>
          <w:color w:val="000000"/>
          <w:sz w:val="24"/>
          <w:szCs w:val="24"/>
          <w:lang w:val="en-GB"/>
        </w:rPr>
        <w:t xml:space="preserve"> reform of t</w:t>
      </w:r>
      <w:r w:rsidR="00D20100" w:rsidRPr="009927E1">
        <w:rPr>
          <w:rFonts w:ascii="Times New Roman" w:hAnsi="Times New Roman" w:cs="Times New Roman"/>
          <w:color w:val="000000"/>
          <w:sz w:val="24"/>
          <w:szCs w:val="24"/>
          <w:lang w:val="en-GB"/>
        </w:rPr>
        <w:t xml:space="preserve">heir local authorities </w:t>
      </w:r>
      <w:r w:rsidR="007D0C38" w:rsidRPr="009927E1">
        <w:rPr>
          <w:rFonts w:ascii="Times New Roman" w:hAnsi="Times New Roman" w:cs="Times New Roman"/>
          <w:color w:val="000000"/>
          <w:sz w:val="24"/>
          <w:szCs w:val="24"/>
          <w:lang w:val="en-GB"/>
        </w:rPr>
        <w:t xml:space="preserve">was made </w:t>
      </w:r>
      <w:r w:rsidR="00D20100" w:rsidRPr="009927E1">
        <w:rPr>
          <w:rFonts w:ascii="Times New Roman" w:hAnsi="Times New Roman" w:cs="Times New Roman"/>
          <w:color w:val="000000"/>
          <w:sz w:val="24"/>
          <w:szCs w:val="24"/>
          <w:lang w:val="en-GB"/>
        </w:rPr>
        <w:t>under EU pressure for modernization and absorption of EU funds</w:t>
      </w:r>
      <w:r w:rsidR="005F22FA" w:rsidRPr="009927E1">
        <w:rPr>
          <w:rFonts w:ascii="Times New Roman" w:hAnsi="Times New Roman" w:cs="Times New Roman"/>
          <w:color w:val="000000"/>
          <w:sz w:val="24"/>
          <w:szCs w:val="24"/>
          <w:lang w:val="en-GB"/>
        </w:rPr>
        <w:t xml:space="preserve">. In </w:t>
      </w:r>
      <w:r w:rsidR="009F5BCD" w:rsidRPr="009927E1">
        <w:rPr>
          <w:rFonts w:ascii="Times New Roman" w:hAnsi="Times New Roman" w:cs="Times New Roman"/>
          <w:color w:val="000000"/>
          <w:sz w:val="24"/>
          <w:szCs w:val="24"/>
          <w:lang w:val="en-GB"/>
        </w:rPr>
        <w:t xml:space="preserve">the ’90s, there were 5,774 </w:t>
      </w:r>
      <w:r w:rsidR="005F22FA" w:rsidRPr="009927E1">
        <w:rPr>
          <w:rFonts w:ascii="Times New Roman" w:hAnsi="Times New Roman" w:cs="Times New Roman"/>
          <w:color w:val="000000"/>
          <w:sz w:val="24"/>
          <w:szCs w:val="24"/>
          <w:lang w:val="en-GB"/>
        </w:rPr>
        <w:t xml:space="preserve">Greek </w:t>
      </w:r>
      <w:r w:rsidR="009F5BCD" w:rsidRPr="009927E1">
        <w:rPr>
          <w:rFonts w:ascii="Times New Roman" w:hAnsi="Times New Roman" w:cs="Times New Roman"/>
          <w:color w:val="000000"/>
          <w:sz w:val="24"/>
          <w:szCs w:val="24"/>
          <w:lang w:val="en-GB"/>
        </w:rPr>
        <w:t xml:space="preserve">rural municipalities, of which more than 80% had less than 1,000 inhabitants. </w:t>
      </w:r>
      <w:r w:rsidR="005F22FA" w:rsidRPr="009927E1">
        <w:rPr>
          <w:rFonts w:ascii="Times New Roman" w:hAnsi="Times New Roman" w:cs="Times New Roman"/>
          <w:color w:val="000000"/>
          <w:sz w:val="24"/>
          <w:szCs w:val="24"/>
          <w:lang w:val="en-GB"/>
        </w:rPr>
        <w:t>T</w:t>
      </w:r>
      <w:r w:rsidR="009F5BCD" w:rsidRPr="009927E1">
        <w:rPr>
          <w:rFonts w:ascii="Times New Roman" w:hAnsi="Times New Roman" w:cs="Times New Roman"/>
          <w:color w:val="000000"/>
          <w:sz w:val="24"/>
          <w:szCs w:val="24"/>
          <w:lang w:val="en-GB"/>
        </w:rPr>
        <w:t>he demographic changes, the geographic mobility, the migration towards the urban environment, determined a constant depopulation of the rural communities</w:t>
      </w:r>
      <w:r w:rsidR="005F22FA" w:rsidRPr="009927E1">
        <w:rPr>
          <w:rFonts w:ascii="Times New Roman" w:hAnsi="Times New Roman" w:cs="Times New Roman"/>
          <w:color w:val="000000"/>
          <w:sz w:val="24"/>
          <w:szCs w:val="24"/>
          <w:lang w:val="en-GB"/>
        </w:rPr>
        <w:t>, so in consecutive waves of reforms</w:t>
      </w:r>
      <w:r w:rsidR="009F5BCD" w:rsidRPr="009927E1">
        <w:rPr>
          <w:rFonts w:ascii="Times New Roman" w:hAnsi="Times New Roman" w:cs="Times New Roman"/>
          <w:color w:val="000000"/>
          <w:sz w:val="24"/>
          <w:szCs w:val="24"/>
          <w:lang w:val="en-GB"/>
        </w:rPr>
        <w:t xml:space="preserve"> the number </w:t>
      </w:r>
      <w:r w:rsidR="005F22FA" w:rsidRPr="009927E1">
        <w:rPr>
          <w:rFonts w:ascii="Times New Roman" w:hAnsi="Times New Roman" w:cs="Times New Roman"/>
          <w:color w:val="000000"/>
          <w:sz w:val="24"/>
          <w:szCs w:val="24"/>
          <w:lang w:val="en-GB"/>
        </w:rPr>
        <w:t xml:space="preserve">of municipalities dropped to </w:t>
      </w:r>
      <w:r w:rsidR="009F5BCD" w:rsidRPr="009927E1">
        <w:rPr>
          <w:rFonts w:ascii="Times New Roman" w:hAnsi="Times New Roman" w:cs="Times New Roman"/>
          <w:color w:val="000000"/>
          <w:sz w:val="24"/>
          <w:szCs w:val="24"/>
          <w:lang w:val="en-GB"/>
        </w:rPr>
        <w:t>1,033 local governments</w:t>
      </w:r>
      <w:r w:rsidR="005F22FA" w:rsidRPr="009927E1">
        <w:rPr>
          <w:rFonts w:ascii="Times New Roman" w:hAnsi="Times New Roman" w:cs="Times New Roman"/>
          <w:color w:val="000000"/>
          <w:sz w:val="24"/>
          <w:szCs w:val="24"/>
          <w:lang w:val="en-GB"/>
        </w:rPr>
        <w:t xml:space="preserve"> and, in the end, to</w:t>
      </w:r>
      <w:r w:rsidR="009F5BCD" w:rsidRPr="009927E1">
        <w:rPr>
          <w:rFonts w:ascii="Times New Roman" w:hAnsi="Times New Roman" w:cs="Times New Roman"/>
          <w:color w:val="000000"/>
          <w:sz w:val="24"/>
          <w:szCs w:val="24"/>
          <w:lang w:val="en-GB"/>
        </w:rPr>
        <w:t xml:space="preserve"> 325.</w:t>
      </w:r>
    </w:p>
    <w:p w14:paraId="2753CB02" w14:textId="0490F887" w:rsidR="00E626C3" w:rsidRDefault="002022B8" w:rsidP="00FD6DD6">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2022B8">
        <w:rPr>
          <w:rFonts w:ascii="Times New Roman" w:hAnsi="Times New Roman" w:cs="Times New Roman"/>
          <w:color w:val="000000"/>
          <w:sz w:val="24"/>
          <w:szCs w:val="24"/>
          <w:lang w:val="en-GB"/>
        </w:rPr>
        <w:t xml:space="preserve">The different experiences of European states regarding local </w:t>
      </w:r>
      <w:r>
        <w:rPr>
          <w:rFonts w:ascii="Times New Roman" w:hAnsi="Times New Roman" w:cs="Times New Roman"/>
          <w:color w:val="000000"/>
          <w:sz w:val="24"/>
          <w:szCs w:val="24"/>
          <w:lang w:val="en-GB"/>
        </w:rPr>
        <w:t>governments</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GB"/>
        </w:rPr>
        <w:t xml:space="preserve"> reforms and fragmentation</w:t>
      </w:r>
      <w:r w:rsidRPr="002022B8">
        <w:rPr>
          <w:rFonts w:ascii="Times New Roman" w:hAnsi="Times New Roman" w:cs="Times New Roman"/>
          <w:color w:val="000000"/>
          <w:sz w:val="24"/>
          <w:szCs w:val="24"/>
          <w:lang w:val="en-GB"/>
        </w:rPr>
        <w:t xml:space="preserve"> show that there is </w:t>
      </w:r>
      <w:r w:rsidR="006111B8" w:rsidRPr="002022B8">
        <w:rPr>
          <w:rFonts w:ascii="Times New Roman" w:hAnsi="Times New Roman" w:cs="Times New Roman"/>
          <w:color w:val="000000"/>
          <w:sz w:val="24"/>
          <w:szCs w:val="24"/>
          <w:lang w:val="en-GB"/>
        </w:rPr>
        <w:t>not</w:t>
      </w:r>
      <w:r w:rsidRPr="002022B8">
        <w:rPr>
          <w:rFonts w:ascii="Times New Roman" w:hAnsi="Times New Roman" w:cs="Times New Roman"/>
          <w:color w:val="000000"/>
          <w:sz w:val="24"/>
          <w:szCs w:val="24"/>
          <w:lang w:val="en-GB"/>
        </w:rPr>
        <w:t xml:space="preserve"> </w:t>
      </w:r>
      <w:r w:rsidR="0042550B">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 unique</w:t>
      </w:r>
      <w:r w:rsidRPr="002022B8">
        <w:rPr>
          <w:rFonts w:ascii="Times New Roman" w:hAnsi="Times New Roman" w:cs="Times New Roman"/>
          <w:color w:val="000000"/>
          <w:sz w:val="24"/>
          <w:szCs w:val="24"/>
          <w:lang w:val="en-GB"/>
        </w:rPr>
        <w:t xml:space="preserve"> </w:t>
      </w:r>
      <w:r w:rsidR="006111B8">
        <w:rPr>
          <w:rFonts w:ascii="Times New Roman" w:hAnsi="Times New Roman" w:cs="Times New Roman"/>
          <w:color w:val="000000"/>
          <w:sz w:val="24"/>
          <w:szCs w:val="24"/>
          <w:lang w:val="en-GB"/>
        </w:rPr>
        <w:t>solu</w:t>
      </w:r>
      <w:r w:rsidRPr="002022B8">
        <w:rPr>
          <w:rFonts w:ascii="Times New Roman" w:hAnsi="Times New Roman" w:cs="Times New Roman"/>
          <w:color w:val="000000"/>
          <w:sz w:val="24"/>
          <w:szCs w:val="24"/>
          <w:lang w:val="en-GB"/>
        </w:rPr>
        <w:t>tion and that models need to be adapted to the national context</w:t>
      </w:r>
      <w:r>
        <w:rPr>
          <w:rFonts w:ascii="Times New Roman" w:hAnsi="Times New Roman" w:cs="Times New Roman"/>
          <w:color w:val="000000"/>
          <w:sz w:val="24"/>
          <w:szCs w:val="24"/>
          <w:lang w:val="en-GB"/>
        </w:rPr>
        <w:t xml:space="preserve"> at one </w:t>
      </w:r>
      <w:r w:rsidR="0038677C">
        <w:rPr>
          <w:rFonts w:ascii="Times New Roman" w:hAnsi="Times New Roman" w:cs="Times New Roman"/>
          <w:color w:val="000000"/>
          <w:sz w:val="24"/>
          <w:szCs w:val="24"/>
          <w:lang w:val="en-GB"/>
        </w:rPr>
        <w:t>moment</w:t>
      </w:r>
      <w:r w:rsidRPr="002022B8">
        <w:rPr>
          <w:rFonts w:ascii="Times New Roman" w:hAnsi="Times New Roman" w:cs="Times New Roman"/>
          <w:color w:val="000000"/>
          <w:sz w:val="24"/>
          <w:szCs w:val="24"/>
          <w:lang w:val="en-GB"/>
        </w:rPr>
        <w:t>.</w:t>
      </w:r>
    </w:p>
    <w:p w14:paraId="2A5C8B6F" w14:textId="1FC069FC" w:rsidR="00AA41AC" w:rsidRPr="009927E1" w:rsidRDefault="00E947C9" w:rsidP="00AA41AC">
      <w:pPr>
        <w:keepNext/>
        <w:suppressAutoHyphens/>
        <w:autoSpaceDE w:val="0"/>
        <w:autoSpaceDN w:val="0"/>
        <w:adjustRightInd w:val="0"/>
        <w:spacing w:before="240" w:after="0" w:line="360" w:lineRule="auto"/>
        <w:ind w:left="578" w:hanging="578"/>
        <w:textAlignment w:val="center"/>
        <w:outlineLvl w:val="1"/>
        <w:rPr>
          <w:rFonts w:ascii="Times New Roman" w:hAnsi="Times New Roman" w:cs="Times New Roman"/>
          <w:color w:val="000000"/>
          <w:sz w:val="24"/>
          <w:szCs w:val="24"/>
          <w:lang w:val="en-GB"/>
        </w:rPr>
      </w:pPr>
      <w:r w:rsidRPr="009927E1">
        <w:rPr>
          <w:rFonts w:ascii="Times New Roman" w:hAnsi="Times New Roman" w:cs="Times New Roman"/>
          <w:i/>
          <w:iCs/>
          <w:color w:val="000000"/>
          <w:sz w:val="24"/>
          <w:szCs w:val="24"/>
          <w:lang w:val="en-GB"/>
        </w:rPr>
        <w:t>Optimal size and efficiency in</w:t>
      </w:r>
      <w:r w:rsidR="00DD5561" w:rsidRPr="009927E1">
        <w:rPr>
          <w:rFonts w:ascii="Times New Roman" w:hAnsi="Times New Roman" w:cs="Times New Roman"/>
          <w:i/>
          <w:iCs/>
          <w:color w:val="000000"/>
          <w:sz w:val="24"/>
          <w:szCs w:val="24"/>
          <w:lang w:val="en-GB"/>
        </w:rPr>
        <w:t xml:space="preserve"> </w:t>
      </w:r>
      <w:r w:rsidR="00EF7FD5" w:rsidRPr="009927E1">
        <w:rPr>
          <w:rFonts w:ascii="Times New Roman" w:hAnsi="Times New Roman" w:cs="Times New Roman"/>
          <w:i/>
          <w:iCs/>
          <w:color w:val="000000"/>
          <w:sz w:val="24"/>
          <w:szCs w:val="24"/>
          <w:lang w:val="en-GB"/>
        </w:rPr>
        <w:t>Romania</w:t>
      </w:r>
    </w:p>
    <w:p w14:paraId="3B5DEEA7" w14:textId="0BA2B786" w:rsidR="00AA41AC" w:rsidRPr="009927E1" w:rsidRDefault="00EF7FD5" w:rsidP="00AA41AC">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bookmarkStart w:id="3" w:name="_Hlk163486707"/>
      <w:r w:rsidRPr="009927E1">
        <w:rPr>
          <w:rFonts w:ascii="Times New Roman" w:hAnsi="Times New Roman" w:cs="Times New Roman"/>
          <w:color w:val="000000"/>
          <w:sz w:val="24"/>
          <w:szCs w:val="24"/>
          <w:lang w:val="en-GB"/>
        </w:rPr>
        <w:t xml:space="preserve">As we discussed in the previous chapter, an important issue </w:t>
      </w:r>
      <w:r w:rsidR="002D246E" w:rsidRPr="009927E1">
        <w:rPr>
          <w:rFonts w:ascii="Times New Roman" w:hAnsi="Times New Roman" w:cs="Times New Roman"/>
          <w:color w:val="000000"/>
          <w:sz w:val="24"/>
          <w:szCs w:val="24"/>
          <w:lang w:val="en-GB"/>
        </w:rPr>
        <w:t>concerns</w:t>
      </w:r>
      <w:r w:rsidRPr="009927E1">
        <w:rPr>
          <w:rFonts w:ascii="Times New Roman" w:hAnsi="Times New Roman" w:cs="Times New Roman"/>
          <w:color w:val="000000"/>
          <w:sz w:val="24"/>
          <w:szCs w:val="24"/>
          <w:lang w:val="en-GB"/>
        </w:rPr>
        <w:t xml:space="preserve"> the degree of </w:t>
      </w:r>
      <w:r w:rsidR="008B6C1F" w:rsidRPr="009927E1">
        <w:rPr>
          <w:rFonts w:ascii="Times New Roman" w:hAnsi="Times New Roman" w:cs="Times New Roman"/>
          <w:color w:val="000000"/>
          <w:sz w:val="24"/>
          <w:szCs w:val="24"/>
          <w:lang w:val="en-GB"/>
        </w:rPr>
        <w:t>fragmentation</w:t>
      </w:r>
      <w:bookmarkEnd w:id="3"/>
      <w:r w:rsidRPr="009927E1">
        <w:rPr>
          <w:rFonts w:ascii="Times New Roman" w:hAnsi="Times New Roman" w:cs="Times New Roman"/>
          <w:color w:val="000000"/>
          <w:sz w:val="24"/>
          <w:szCs w:val="24"/>
          <w:lang w:val="en-GB"/>
        </w:rPr>
        <w:t xml:space="preserve">, but also </w:t>
      </w:r>
      <w:r w:rsidR="008B6C1F" w:rsidRPr="009927E1">
        <w:rPr>
          <w:rFonts w:ascii="Times New Roman" w:hAnsi="Times New Roman" w:cs="Times New Roman"/>
          <w:color w:val="000000"/>
          <w:sz w:val="24"/>
          <w:szCs w:val="24"/>
          <w:lang w:val="en-GB"/>
        </w:rPr>
        <w:t>o</w:t>
      </w:r>
      <w:r w:rsidR="002D246E" w:rsidRPr="009927E1">
        <w:rPr>
          <w:rFonts w:ascii="Times New Roman" w:hAnsi="Times New Roman" w:cs="Times New Roman"/>
          <w:color w:val="000000"/>
          <w:sz w:val="24"/>
          <w:szCs w:val="24"/>
          <w:lang w:val="en-GB"/>
        </w:rPr>
        <w:t>f</w:t>
      </w:r>
      <w:r w:rsidR="008B6C1F" w:rsidRPr="009927E1">
        <w:rPr>
          <w:rFonts w:ascii="Times New Roman" w:hAnsi="Times New Roman" w:cs="Times New Roman"/>
          <w:color w:val="000000"/>
          <w:sz w:val="24"/>
          <w:szCs w:val="24"/>
          <w:lang w:val="en-GB"/>
        </w:rPr>
        <w:t xml:space="preserve"> </w:t>
      </w:r>
      <w:r w:rsidR="00B32E46" w:rsidRPr="009927E1">
        <w:rPr>
          <w:rFonts w:ascii="Times New Roman" w:hAnsi="Times New Roman" w:cs="Times New Roman"/>
          <w:color w:val="000000"/>
          <w:sz w:val="24"/>
          <w:szCs w:val="24"/>
          <w:lang w:val="en-GB"/>
        </w:rPr>
        <w:t>e</w:t>
      </w:r>
      <w:r w:rsidR="008B6C1F" w:rsidRPr="009927E1">
        <w:rPr>
          <w:rFonts w:ascii="Times New Roman" w:hAnsi="Times New Roman" w:cs="Times New Roman"/>
          <w:color w:val="000000"/>
          <w:sz w:val="24"/>
          <w:szCs w:val="24"/>
          <w:lang w:val="en-GB"/>
        </w:rPr>
        <w:t>fficiency of the public services and the possibilities of access</w:t>
      </w:r>
      <w:r w:rsidR="002D246E" w:rsidRPr="009927E1">
        <w:rPr>
          <w:rFonts w:ascii="Times New Roman" w:hAnsi="Times New Roman" w:cs="Times New Roman"/>
          <w:color w:val="000000"/>
          <w:sz w:val="24"/>
          <w:szCs w:val="24"/>
          <w:lang w:val="en-GB"/>
        </w:rPr>
        <w:t>i</w:t>
      </w:r>
      <w:r w:rsidR="009456E9">
        <w:rPr>
          <w:rFonts w:ascii="Times New Roman" w:hAnsi="Times New Roman" w:cs="Times New Roman"/>
          <w:color w:val="000000"/>
          <w:sz w:val="24"/>
          <w:szCs w:val="24"/>
          <w:lang w:val="en-GB"/>
        </w:rPr>
        <w:t>on</w:t>
      </w:r>
      <w:r w:rsidR="002D246E" w:rsidRPr="009927E1">
        <w:rPr>
          <w:rFonts w:ascii="Times New Roman" w:hAnsi="Times New Roman" w:cs="Times New Roman"/>
          <w:color w:val="000000"/>
          <w:sz w:val="24"/>
          <w:szCs w:val="24"/>
          <w:lang w:val="en-GB"/>
        </w:rPr>
        <w:t xml:space="preserve"> by</w:t>
      </w:r>
      <w:r w:rsidR="008B6C1F" w:rsidRPr="009927E1">
        <w:rPr>
          <w:rFonts w:ascii="Times New Roman" w:hAnsi="Times New Roman" w:cs="Times New Roman"/>
          <w:color w:val="000000"/>
          <w:sz w:val="24"/>
          <w:szCs w:val="24"/>
          <w:lang w:val="en-GB"/>
        </w:rPr>
        <w:t xml:space="preserve"> the population.</w:t>
      </w:r>
      <w:r w:rsidR="00400E92" w:rsidRPr="009927E1">
        <w:rPr>
          <w:rFonts w:ascii="Times New Roman" w:hAnsi="Times New Roman" w:cs="Times New Roman"/>
          <w:color w:val="000000"/>
          <w:sz w:val="24"/>
          <w:szCs w:val="24"/>
          <w:lang w:val="en-GB"/>
        </w:rPr>
        <w:t xml:space="preserve"> The s</w:t>
      </w:r>
      <w:r w:rsidR="00310121" w:rsidRPr="009927E1">
        <w:rPr>
          <w:rFonts w:ascii="Times New Roman" w:hAnsi="Times New Roman" w:cs="Times New Roman"/>
          <w:color w:val="000000"/>
          <w:sz w:val="24"/>
          <w:szCs w:val="24"/>
          <w:lang w:val="en-GB"/>
        </w:rPr>
        <w:t xml:space="preserve">et of data available show that following </w:t>
      </w:r>
      <w:r w:rsidR="002D246E" w:rsidRPr="009927E1">
        <w:rPr>
          <w:rFonts w:ascii="Times New Roman" w:hAnsi="Times New Roman" w:cs="Times New Roman"/>
          <w:color w:val="000000"/>
          <w:sz w:val="24"/>
          <w:szCs w:val="24"/>
          <w:lang w:val="en-GB"/>
        </w:rPr>
        <w:t>distribution of</w:t>
      </w:r>
      <w:r w:rsidR="00310121" w:rsidRPr="009927E1">
        <w:rPr>
          <w:rFonts w:ascii="Times New Roman" w:hAnsi="Times New Roman" w:cs="Times New Roman"/>
          <w:color w:val="000000"/>
          <w:sz w:val="24"/>
          <w:szCs w:val="24"/>
          <w:lang w:val="en-GB"/>
        </w:rPr>
        <w:t xml:space="preserve"> the Romanian municipalities</w:t>
      </w:r>
      <w:r w:rsidR="002D246E" w:rsidRPr="009927E1">
        <w:rPr>
          <w:rFonts w:ascii="Times New Roman" w:hAnsi="Times New Roman" w:cs="Times New Roman"/>
          <w:color w:val="000000"/>
          <w:sz w:val="24"/>
          <w:szCs w:val="24"/>
          <w:lang w:val="en-GB"/>
        </w:rPr>
        <w:t xml:space="preserve"> in </w:t>
      </w:r>
      <w:r w:rsidR="009456E9">
        <w:rPr>
          <w:rFonts w:ascii="Times New Roman" w:hAnsi="Times New Roman" w:cs="Times New Roman"/>
          <w:color w:val="000000"/>
          <w:sz w:val="24"/>
          <w:szCs w:val="24"/>
          <w:lang w:val="en-GB"/>
        </w:rPr>
        <w:t xml:space="preserve">population range </w:t>
      </w:r>
      <w:r w:rsidR="002D246E" w:rsidRPr="009927E1">
        <w:rPr>
          <w:rFonts w:ascii="Times New Roman" w:hAnsi="Times New Roman" w:cs="Times New Roman"/>
          <w:color w:val="000000"/>
          <w:sz w:val="24"/>
          <w:szCs w:val="24"/>
          <w:lang w:val="en-GB"/>
        </w:rPr>
        <w:t>categories, according to national legislation</w:t>
      </w:r>
      <w:r w:rsidR="00310121" w:rsidRPr="009927E1">
        <w:rPr>
          <w:rFonts w:ascii="Times New Roman" w:hAnsi="Times New Roman" w:cs="Times New Roman"/>
          <w:color w:val="000000"/>
          <w:sz w:val="24"/>
          <w:szCs w:val="24"/>
          <w:lang w:val="en-GB"/>
        </w:rPr>
        <w:t>:</w:t>
      </w:r>
    </w:p>
    <w:p w14:paraId="4B2BC72D" w14:textId="372DA6B9" w:rsidR="000836AE" w:rsidRPr="009927E1" w:rsidRDefault="000836AE" w:rsidP="004B7962">
      <w:pPr>
        <w:suppressAutoHyphens/>
        <w:autoSpaceDE w:val="0"/>
        <w:autoSpaceDN w:val="0"/>
        <w:adjustRightInd w:val="0"/>
        <w:spacing w:after="0" w:line="240" w:lineRule="auto"/>
        <w:jc w:val="both"/>
        <w:textAlignment w:val="center"/>
        <w:rPr>
          <w:rFonts w:ascii="Times New Roman" w:hAnsi="Times New Roman" w:cs="Times New Roman"/>
          <w:color w:val="000000"/>
          <w:lang w:val="en-GB"/>
        </w:rPr>
      </w:pPr>
      <w:r w:rsidRPr="009927E1">
        <w:rPr>
          <w:rFonts w:ascii="Times New Roman" w:hAnsi="Times New Roman" w:cs="Times New Roman"/>
          <w:i/>
          <w:iCs/>
          <w:color w:val="000000"/>
          <w:lang w:val="en-GB"/>
        </w:rPr>
        <w:t xml:space="preserve">Table </w:t>
      </w:r>
      <w:r w:rsidR="00F91FA0">
        <w:rPr>
          <w:rFonts w:ascii="Times New Roman" w:hAnsi="Times New Roman" w:cs="Times New Roman"/>
          <w:i/>
          <w:iCs/>
          <w:color w:val="000000"/>
          <w:lang w:val="en-GB"/>
        </w:rPr>
        <w:t>2</w:t>
      </w:r>
      <w:r w:rsidRPr="009927E1">
        <w:rPr>
          <w:rFonts w:ascii="Times New Roman" w:hAnsi="Times New Roman" w:cs="Times New Roman"/>
          <w:color w:val="000000"/>
          <w:lang w:val="en-GB"/>
        </w:rPr>
        <w:t xml:space="preserve">. Municipal size on </w:t>
      </w:r>
      <w:r w:rsidR="009456E9">
        <w:rPr>
          <w:rFonts w:ascii="Times New Roman" w:hAnsi="Times New Roman" w:cs="Times New Roman"/>
          <w:color w:val="000000"/>
          <w:lang w:val="en-GB"/>
        </w:rPr>
        <w:t xml:space="preserve">population range </w:t>
      </w:r>
      <w:r w:rsidR="002D246E" w:rsidRPr="009927E1">
        <w:rPr>
          <w:rFonts w:ascii="Times New Roman" w:hAnsi="Times New Roman" w:cs="Times New Roman"/>
          <w:color w:val="000000"/>
          <w:lang w:val="en-GB"/>
        </w:rPr>
        <w:t>categories</w:t>
      </w:r>
    </w:p>
    <w:tbl>
      <w:tblPr>
        <w:tblStyle w:val="Tabelgril"/>
        <w:tblW w:w="0" w:type="auto"/>
        <w:tblLayout w:type="fixed"/>
        <w:tblLook w:val="04A0" w:firstRow="1" w:lastRow="0" w:firstColumn="1" w:lastColumn="0" w:noHBand="0" w:noVBand="1"/>
      </w:tblPr>
      <w:tblGrid>
        <w:gridCol w:w="973"/>
        <w:gridCol w:w="1290"/>
        <w:gridCol w:w="720"/>
        <w:gridCol w:w="840"/>
        <w:gridCol w:w="1344"/>
        <w:gridCol w:w="801"/>
        <w:gridCol w:w="831"/>
        <w:gridCol w:w="1353"/>
        <w:gridCol w:w="908"/>
      </w:tblGrid>
      <w:tr w:rsidR="00503E40" w:rsidRPr="009927E1" w14:paraId="248B1305" w14:textId="77777777" w:rsidTr="00152856">
        <w:tc>
          <w:tcPr>
            <w:tcW w:w="2983" w:type="dxa"/>
            <w:gridSpan w:val="3"/>
          </w:tcPr>
          <w:p w14:paraId="1EE9F51F" w14:textId="79FE1AEC" w:rsidR="00503E40" w:rsidRPr="009927E1" w:rsidRDefault="00503E40"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Communes</w:t>
            </w:r>
          </w:p>
        </w:tc>
        <w:tc>
          <w:tcPr>
            <w:tcW w:w="2985" w:type="dxa"/>
            <w:gridSpan w:val="3"/>
          </w:tcPr>
          <w:p w14:paraId="6F45DD71" w14:textId="56B664CA" w:rsidR="00503E40" w:rsidRPr="009927E1" w:rsidRDefault="00503E40"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Towns</w:t>
            </w:r>
          </w:p>
        </w:tc>
        <w:tc>
          <w:tcPr>
            <w:tcW w:w="3092" w:type="dxa"/>
            <w:gridSpan w:val="3"/>
          </w:tcPr>
          <w:p w14:paraId="3B7C2458" w14:textId="5E79E76C" w:rsidR="00503E40" w:rsidRPr="009927E1" w:rsidRDefault="00503E40" w:rsidP="004B7962">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Municipalities</w:t>
            </w:r>
          </w:p>
        </w:tc>
      </w:tr>
      <w:tr w:rsidR="00503E40" w:rsidRPr="009927E1" w14:paraId="1D3B3B89" w14:textId="77777777" w:rsidTr="00152856">
        <w:tc>
          <w:tcPr>
            <w:tcW w:w="973" w:type="dxa"/>
          </w:tcPr>
          <w:p w14:paraId="0665727F" w14:textId="4FB58E11"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N</w:t>
            </w:r>
            <w:r w:rsidR="00152856" w:rsidRPr="009927E1">
              <w:rPr>
                <w:rFonts w:ascii="Times New Roman" w:hAnsi="Times New Roman" w:cs="Times New Roman"/>
                <w:b/>
                <w:bCs/>
                <w:color w:val="000000"/>
                <w:lang w:val="en-GB"/>
              </w:rPr>
              <w:t>o</w:t>
            </w:r>
          </w:p>
        </w:tc>
        <w:tc>
          <w:tcPr>
            <w:tcW w:w="1290" w:type="dxa"/>
          </w:tcPr>
          <w:p w14:paraId="7CE63724" w14:textId="4A21776A"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Population</w:t>
            </w:r>
          </w:p>
        </w:tc>
        <w:tc>
          <w:tcPr>
            <w:tcW w:w="720" w:type="dxa"/>
          </w:tcPr>
          <w:p w14:paraId="4E23F8D0" w14:textId="3DC6BB57"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Avg</w:t>
            </w:r>
            <w:r w:rsidR="00D4160E">
              <w:rPr>
                <w:rFonts w:ascii="Times New Roman" w:hAnsi="Times New Roman" w:cs="Times New Roman"/>
                <w:b/>
                <w:bCs/>
                <w:color w:val="000000"/>
                <w:lang w:val="en-GB"/>
              </w:rPr>
              <w:t>.</w:t>
            </w:r>
            <w:r w:rsidRPr="009927E1">
              <w:rPr>
                <w:rFonts w:ascii="Times New Roman" w:hAnsi="Times New Roman" w:cs="Times New Roman"/>
                <w:b/>
                <w:bCs/>
                <w:color w:val="000000"/>
                <w:lang w:val="en-GB"/>
              </w:rPr>
              <w:t xml:space="preserve"> size</w:t>
            </w:r>
          </w:p>
        </w:tc>
        <w:tc>
          <w:tcPr>
            <w:tcW w:w="840" w:type="dxa"/>
          </w:tcPr>
          <w:p w14:paraId="26DE6B72" w14:textId="0CC3DE8B"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N</w:t>
            </w:r>
            <w:r w:rsidR="00152856" w:rsidRPr="009927E1">
              <w:rPr>
                <w:rFonts w:ascii="Times New Roman" w:hAnsi="Times New Roman" w:cs="Times New Roman"/>
                <w:b/>
                <w:bCs/>
                <w:color w:val="000000"/>
                <w:lang w:val="en-GB"/>
              </w:rPr>
              <w:t>o</w:t>
            </w:r>
          </w:p>
        </w:tc>
        <w:tc>
          <w:tcPr>
            <w:tcW w:w="1344" w:type="dxa"/>
          </w:tcPr>
          <w:p w14:paraId="3DCCC88F" w14:textId="206C5A9C"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Population</w:t>
            </w:r>
          </w:p>
        </w:tc>
        <w:tc>
          <w:tcPr>
            <w:tcW w:w="801" w:type="dxa"/>
          </w:tcPr>
          <w:p w14:paraId="38044EEF" w14:textId="0C0DDC1D"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Avg</w:t>
            </w:r>
            <w:r w:rsidR="00D4160E">
              <w:rPr>
                <w:rFonts w:ascii="Times New Roman" w:hAnsi="Times New Roman" w:cs="Times New Roman"/>
                <w:b/>
                <w:bCs/>
                <w:color w:val="000000"/>
                <w:lang w:val="en-GB"/>
              </w:rPr>
              <w:t>.</w:t>
            </w:r>
            <w:r w:rsidRPr="009927E1">
              <w:rPr>
                <w:rFonts w:ascii="Times New Roman" w:hAnsi="Times New Roman" w:cs="Times New Roman"/>
                <w:b/>
                <w:bCs/>
                <w:color w:val="000000"/>
                <w:lang w:val="en-GB"/>
              </w:rPr>
              <w:t xml:space="preserve"> size</w:t>
            </w:r>
          </w:p>
        </w:tc>
        <w:tc>
          <w:tcPr>
            <w:tcW w:w="831" w:type="dxa"/>
          </w:tcPr>
          <w:p w14:paraId="03397588" w14:textId="5C6F229D"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N</w:t>
            </w:r>
            <w:r w:rsidR="00152856" w:rsidRPr="009927E1">
              <w:rPr>
                <w:rFonts w:ascii="Times New Roman" w:hAnsi="Times New Roman" w:cs="Times New Roman"/>
                <w:b/>
                <w:bCs/>
                <w:color w:val="000000"/>
                <w:lang w:val="en-GB"/>
              </w:rPr>
              <w:t>o</w:t>
            </w:r>
          </w:p>
        </w:tc>
        <w:tc>
          <w:tcPr>
            <w:tcW w:w="1353" w:type="dxa"/>
          </w:tcPr>
          <w:p w14:paraId="7436EF1C" w14:textId="5898336D"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Population</w:t>
            </w:r>
          </w:p>
        </w:tc>
        <w:tc>
          <w:tcPr>
            <w:tcW w:w="908" w:type="dxa"/>
          </w:tcPr>
          <w:p w14:paraId="7A800B37" w14:textId="0AC20068" w:rsidR="00503E40" w:rsidRPr="009927E1" w:rsidRDefault="00503E40" w:rsidP="00152856">
            <w:pPr>
              <w:suppressAutoHyphens/>
              <w:autoSpaceDE w:val="0"/>
              <w:autoSpaceDN w:val="0"/>
              <w:adjustRightInd w:val="0"/>
              <w:jc w:val="center"/>
              <w:textAlignment w:val="center"/>
              <w:rPr>
                <w:rFonts w:ascii="Times New Roman" w:hAnsi="Times New Roman" w:cs="Times New Roman"/>
                <w:b/>
                <w:bCs/>
                <w:color w:val="000000"/>
                <w:lang w:val="en-GB"/>
              </w:rPr>
            </w:pPr>
            <w:r w:rsidRPr="009927E1">
              <w:rPr>
                <w:rFonts w:ascii="Times New Roman" w:hAnsi="Times New Roman" w:cs="Times New Roman"/>
                <w:b/>
                <w:bCs/>
                <w:color w:val="000000"/>
                <w:lang w:val="en-GB"/>
              </w:rPr>
              <w:t>Avg</w:t>
            </w:r>
            <w:r w:rsidR="00D4160E">
              <w:rPr>
                <w:rFonts w:ascii="Times New Roman" w:hAnsi="Times New Roman" w:cs="Times New Roman"/>
                <w:b/>
                <w:bCs/>
                <w:color w:val="000000"/>
                <w:lang w:val="en-GB"/>
              </w:rPr>
              <w:t>.</w:t>
            </w:r>
            <w:r w:rsidRPr="009927E1">
              <w:rPr>
                <w:rFonts w:ascii="Times New Roman" w:hAnsi="Times New Roman" w:cs="Times New Roman"/>
                <w:b/>
                <w:bCs/>
                <w:color w:val="000000"/>
                <w:lang w:val="en-GB"/>
              </w:rPr>
              <w:t xml:space="preserve"> size</w:t>
            </w:r>
          </w:p>
        </w:tc>
      </w:tr>
      <w:tr w:rsidR="00B60571" w:rsidRPr="009927E1" w14:paraId="7DE8CF77" w14:textId="77777777" w:rsidTr="00152856">
        <w:tc>
          <w:tcPr>
            <w:tcW w:w="9060" w:type="dxa"/>
            <w:gridSpan w:val="9"/>
          </w:tcPr>
          <w:p w14:paraId="4EE9E451" w14:textId="631DDCFD" w:rsidR="00B60571" w:rsidRPr="009927E1" w:rsidRDefault="00D446DD"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Under 1,000 inhabitants</w:t>
            </w:r>
          </w:p>
        </w:tc>
      </w:tr>
      <w:tr w:rsidR="00B60571" w:rsidRPr="009927E1" w14:paraId="6AFB2184" w14:textId="77777777" w:rsidTr="00152856">
        <w:tc>
          <w:tcPr>
            <w:tcW w:w="973" w:type="dxa"/>
          </w:tcPr>
          <w:p w14:paraId="600E1F2C" w14:textId="05B300B2"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141</w:t>
            </w:r>
          </w:p>
        </w:tc>
        <w:tc>
          <w:tcPr>
            <w:tcW w:w="1290" w:type="dxa"/>
          </w:tcPr>
          <w:p w14:paraId="18CED785" w14:textId="2A8057D3"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104,299</w:t>
            </w:r>
          </w:p>
        </w:tc>
        <w:tc>
          <w:tcPr>
            <w:tcW w:w="720" w:type="dxa"/>
          </w:tcPr>
          <w:p w14:paraId="522EB872" w14:textId="47F0BC63"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739</w:t>
            </w:r>
          </w:p>
        </w:tc>
        <w:tc>
          <w:tcPr>
            <w:tcW w:w="840" w:type="dxa"/>
          </w:tcPr>
          <w:p w14:paraId="6566D0EB" w14:textId="18B5F3B9"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44" w:type="dxa"/>
          </w:tcPr>
          <w:p w14:paraId="3469A99A" w14:textId="1753D148"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01" w:type="dxa"/>
          </w:tcPr>
          <w:p w14:paraId="549C57CE" w14:textId="05907F2B"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31" w:type="dxa"/>
          </w:tcPr>
          <w:p w14:paraId="0CE15208" w14:textId="136B3717"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53" w:type="dxa"/>
          </w:tcPr>
          <w:p w14:paraId="3B14A85E" w14:textId="132D361D"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908" w:type="dxa"/>
          </w:tcPr>
          <w:p w14:paraId="228BDF1D" w14:textId="4881B852" w:rsidR="00B60571" w:rsidRPr="009927E1" w:rsidRDefault="00EF7FD5"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r>
      <w:tr w:rsidR="00503E40" w:rsidRPr="009927E1" w14:paraId="4CB07D53" w14:textId="77777777" w:rsidTr="00152856">
        <w:tc>
          <w:tcPr>
            <w:tcW w:w="9060" w:type="dxa"/>
            <w:gridSpan w:val="9"/>
          </w:tcPr>
          <w:p w14:paraId="41394247" w14:textId="417889C3"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Under 1,500 inhabitants</w:t>
            </w:r>
          </w:p>
        </w:tc>
      </w:tr>
      <w:tr w:rsidR="00503E40" w:rsidRPr="009927E1" w14:paraId="75469A71" w14:textId="77777777" w:rsidTr="00152856">
        <w:tc>
          <w:tcPr>
            <w:tcW w:w="973" w:type="dxa"/>
          </w:tcPr>
          <w:p w14:paraId="4C018EE6" w14:textId="307684BB"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465</w:t>
            </w:r>
          </w:p>
        </w:tc>
        <w:tc>
          <w:tcPr>
            <w:tcW w:w="1290" w:type="dxa"/>
          </w:tcPr>
          <w:p w14:paraId="72D3E7B1" w14:textId="7A36B49D"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513,121</w:t>
            </w:r>
          </w:p>
        </w:tc>
        <w:tc>
          <w:tcPr>
            <w:tcW w:w="720" w:type="dxa"/>
          </w:tcPr>
          <w:p w14:paraId="466C5ED9" w14:textId="005530D6"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1,103</w:t>
            </w:r>
          </w:p>
        </w:tc>
        <w:tc>
          <w:tcPr>
            <w:tcW w:w="840" w:type="dxa"/>
          </w:tcPr>
          <w:p w14:paraId="467F73E3" w14:textId="4DCEBF8B"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c>
          <w:tcPr>
            <w:tcW w:w="1344" w:type="dxa"/>
          </w:tcPr>
          <w:p w14:paraId="228DA921" w14:textId="3D9B5F16"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1,372</w:t>
            </w:r>
          </w:p>
        </w:tc>
        <w:tc>
          <w:tcPr>
            <w:tcW w:w="801" w:type="dxa"/>
          </w:tcPr>
          <w:p w14:paraId="2F9E0C6A" w14:textId="2ABCB4AC"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1,372</w:t>
            </w:r>
          </w:p>
        </w:tc>
        <w:tc>
          <w:tcPr>
            <w:tcW w:w="831" w:type="dxa"/>
          </w:tcPr>
          <w:p w14:paraId="5D4F058A" w14:textId="26A21CBD"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53" w:type="dxa"/>
          </w:tcPr>
          <w:p w14:paraId="3B946077" w14:textId="7960C868"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908" w:type="dxa"/>
          </w:tcPr>
          <w:p w14:paraId="46458D32" w14:textId="2BAB1A78"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r>
      <w:tr w:rsidR="00503E40" w:rsidRPr="009927E1" w14:paraId="7FC74AE7" w14:textId="77777777" w:rsidTr="00152856">
        <w:tc>
          <w:tcPr>
            <w:tcW w:w="9060" w:type="dxa"/>
            <w:gridSpan w:val="9"/>
          </w:tcPr>
          <w:p w14:paraId="0D11D28E" w14:textId="3DC5415B"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1,501-3,000 inhabitants</w:t>
            </w:r>
          </w:p>
        </w:tc>
      </w:tr>
      <w:tr w:rsidR="00503E40" w:rsidRPr="009927E1" w14:paraId="2D199186" w14:textId="77777777" w:rsidTr="00152856">
        <w:tc>
          <w:tcPr>
            <w:tcW w:w="973" w:type="dxa"/>
          </w:tcPr>
          <w:p w14:paraId="007682A4" w14:textId="270CFE37"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1,188</w:t>
            </w:r>
          </w:p>
        </w:tc>
        <w:tc>
          <w:tcPr>
            <w:tcW w:w="1290" w:type="dxa"/>
          </w:tcPr>
          <w:p w14:paraId="5D7E8BF4" w14:textId="448C511C"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2,605,891</w:t>
            </w:r>
          </w:p>
        </w:tc>
        <w:tc>
          <w:tcPr>
            <w:tcW w:w="720" w:type="dxa"/>
          </w:tcPr>
          <w:p w14:paraId="5ACC04F1" w14:textId="0B154343"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2,193</w:t>
            </w:r>
          </w:p>
        </w:tc>
        <w:tc>
          <w:tcPr>
            <w:tcW w:w="840" w:type="dxa"/>
          </w:tcPr>
          <w:p w14:paraId="5FE67175" w14:textId="38813C41"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w:t>
            </w:r>
          </w:p>
        </w:tc>
        <w:tc>
          <w:tcPr>
            <w:tcW w:w="1344" w:type="dxa"/>
          </w:tcPr>
          <w:p w14:paraId="269B8287" w14:textId="298E0EF1"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16,377</w:t>
            </w:r>
          </w:p>
        </w:tc>
        <w:tc>
          <w:tcPr>
            <w:tcW w:w="801" w:type="dxa"/>
          </w:tcPr>
          <w:p w14:paraId="36EB3389" w14:textId="5EA57DBD"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2,339</w:t>
            </w:r>
          </w:p>
        </w:tc>
        <w:tc>
          <w:tcPr>
            <w:tcW w:w="831" w:type="dxa"/>
          </w:tcPr>
          <w:p w14:paraId="7824D4F9" w14:textId="09BD6768"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53" w:type="dxa"/>
          </w:tcPr>
          <w:p w14:paraId="380B5C3A" w14:textId="7AC8FB96"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908" w:type="dxa"/>
          </w:tcPr>
          <w:p w14:paraId="26DDFC02" w14:textId="46F59DFF"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r>
      <w:tr w:rsidR="00503E40" w:rsidRPr="009927E1" w14:paraId="379BB37F" w14:textId="77777777" w:rsidTr="00152856">
        <w:tc>
          <w:tcPr>
            <w:tcW w:w="9060" w:type="dxa"/>
            <w:gridSpan w:val="9"/>
          </w:tcPr>
          <w:p w14:paraId="7268C007" w14:textId="4BDDE944"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3,001-5,000 inhabitants</w:t>
            </w:r>
          </w:p>
        </w:tc>
      </w:tr>
      <w:tr w:rsidR="00503E40" w:rsidRPr="009927E1" w14:paraId="038B9659" w14:textId="77777777" w:rsidTr="00152856">
        <w:tc>
          <w:tcPr>
            <w:tcW w:w="973" w:type="dxa"/>
          </w:tcPr>
          <w:p w14:paraId="6C8A59E7" w14:textId="6DAACFFA"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810</w:t>
            </w:r>
          </w:p>
        </w:tc>
        <w:tc>
          <w:tcPr>
            <w:tcW w:w="1290" w:type="dxa"/>
          </w:tcPr>
          <w:p w14:paraId="12A7D9A6" w14:textId="1039CD5B"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3,056,872</w:t>
            </w:r>
          </w:p>
        </w:tc>
        <w:tc>
          <w:tcPr>
            <w:tcW w:w="720" w:type="dxa"/>
          </w:tcPr>
          <w:p w14:paraId="4C5569FB" w14:textId="39A068B9"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3,773</w:t>
            </w:r>
          </w:p>
        </w:tc>
        <w:tc>
          <w:tcPr>
            <w:tcW w:w="840" w:type="dxa"/>
          </w:tcPr>
          <w:p w14:paraId="03CF9043" w14:textId="1D3C6520"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30</w:t>
            </w:r>
          </w:p>
        </w:tc>
        <w:tc>
          <w:tcPr>
            <w:tcW w:w="1344" w:type="dxa"/>
          </w:tcPr>
          <w:p w14:paraId="4CDE1828" w14:textId="75AA712A"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121,546</w:t>
            </w:r>
          </w:p>
        </w:tc>
        <w:tc>
          <w:tcPr>
            <w:tcW w:w="801" w:type="dxa"/>
          </w:tcPr>
          <w:p w14:paraId="7F518ABF" w14:textId="074EF40D"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4,051</w:t>
            </w:r>
          </w:p>
        </w:tc>
        <w:tc>
          <w:tcPr>
            <w:tcW w:w="831" w:type="dxa"/>
          </w:tcPr>
          <w:p w14:paraId="7644C7E1" w14:textId="41F2364B"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53" w:type="dxa"/>
          </w:tcPr>
          <w:p w14:paraId="47B504BD" w14:textId="6639E1B6"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908" w:type="dxa"/>
          </w:tcPr>
          <w:p w14:paraId="0683A633" w14:textId="4B800E14"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r>
      <w:tr w:rsidR="00503E40" w:rsidRPr="009927E1" w14:paraId="42775DA0" w14:textId="77777777" w:rsidTr="00152856">
        <w:tc>
          <w:tcPr>
            <w:tcW w:w="9060" w:type="dxa"/>
            <w:gridSpan w:val="9"/>
          </w:tcPr>
          <w:p w14:paraId="1D5AE106" w14:textId="2A9F45F8"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5,001-10,000 inhabitants</w:t>
            </w:r>
          </w:p>
        </w:tc>
      </w:tr>
      <w:tr w:rsidR="00503E40" w:rsidRPr="009927E1" w14:paraId="18670188" w14:textId="77777777" w:rsidTr="00152856">
        <w:tc>
          <w:tcPr>
            <w:tcW w:w="973" w:type="dxa"/>
          </w:tcPr>
          <w:p w14:paraId="465DFD29" w14:textId="20A45154"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354</w:t>
            </w:r>
          </w:p>
        </w:tc>
        <w:tc>
          <w:tcPr>
            <w:tcW w:w="1290" w:type="dxa"/>
          </w:tcPr>
          <w:p w14:paraId="1EC5E7BC" w14:textId="12936F70"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2,277,456</w:t>
            </w:r>
          </w:p>
        </w:tc>
        <w:tc>
          <w:tcPr>
            <w:tcW w:w="720" w:type="dxa"/>
          </w:tcPr>
          <w:p w14:paraId="2957E8F8" w14:textId="5540BD1D"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6,433</w:t>
            </w:r>
          </w:p>
        </w:tc>
        <w:tc>
          <w:tcPr>
            <w:tcW w:w="840" w:type="dxa"/>
          </w:tcPr>
          <w:p w14:paraId="2C914B7C" w14:textId="5D0E3F0D"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108</w:t>
            </w:r>
          </w:p>
        </w:tc>
        <w:tc>
          <w:tcPr>
            <w:tcW w:w="1344" w:type="dxa"/>
          </w:tcPr>
          <w:p w14:paraId="5D09A245" w14:textId="695ECE70"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792,523</w:t>
            </w:r>
          </w:p>
        </w:tc>
        <w:tc>
          <w:tcPr>
            <w:tcW w:w="801" w:type="dxa"/>
          </w:tcPr>
          <w:p w14:paraId="55A3232E" w14:textId="4737F4B2"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7,338</w:t>
            </w:r>
          </w:p>
        </w:tc>
        <w:tc>
          <w:tcPr>
            <w:tcW w:w="831" w:type="dxa"/>
          </w:tcPr>
          <w:p w14:paraId="6E898E0D" w14:textId="0695B75C"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w:t>
            </w:r>
          </w:p>
        </w:tc>
        <w:tc>
          <w:tcPr>
            <w:tcW w:w="1353" w:type="dxa"/>
          </w:tcPr>
          <w:p w14:paraId="2E1B699B" w14:textId="5CB6FBD8"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18,251</w:t>
            </w:r>
          </w:p>
        </w:tc>
        <w:tc>
          <w:tcPr>
            <w:tcW w:w="908" w:type="dxa"/>
          </w:tcPr>
          <w:p w14:paraId="6CAF33E6" w14:textId="544811E4" w:rsidR="00503E40" w:rsidRPr="009927E1" w:rsidRDefault="002E324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9,125</w:t>
            </w:r>
          </w:p>
        </w:tc>
      </w:tr>
      <w:tr w:rsidR="00503E40" w:rsidRPr="009927E1" w14:paraId="5F40F68C" w14:textId="77777777" w:rsidTr="00152856">
        <w:tc>
          <w:tcPr>
            <w:tcW w:w="9060" w:type="dxa"/>
            <w:gridSpan w:val="9"/>
          </w:tcPr>
          <w:p w14:paraId="523F3E2C" w14:textId="335FFBB6"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10,001-20,000 inhabitants</w:t>
            </w:r>
          </w:p>
        </w:tc>
      </w:tr>
      <w:tr w:rsidR="00503E40" w:rsidRPr="009927E1" w14:paraId="4BC2BD79" w14:textId="77777777" w:rsidTr="00152856">
        <w:tc>
          <w:tcPr>
            <w:tcW w:w="973" w:type="dxa"/>
          </w:tcPr>
          <w:p w14:paraId="67AE9A09" w14:textId="1D03B991"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40</w:t>
            </w:r>
          </w:p>
        </w:tc>
        <w:tc>
          <w:tcPr>
            <w:tcW w:w="1290" w:type="dxa"/>
          </w:tcPr>
          <w:p w14:paraId="3058318C" w14:textId="10472844"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494,396</w:t>
            </w:r>
          </w:p>
        </w:tc>
        <w:tc>
          <w:tcPr>
            <w:tcW w:w="720" w:type="dxa"/>
          </w:tcPr>
          <w:p w14:paraId="42719F60" w14:textId="1E0625E7"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12,359</w:t>
            </w:r>
          </w:p>
        </w:tc>
        <w:tc>
          <w:tcPr>
            <w:tcW w:w="840" w:type="dxa"/>
          </w:tcPr>
          <w:p w14:paraId="1BFC05B6" w14:textId="258311A3"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59</w:t>
            </w:r>
          </w:p>
        </w:tc>
        <w:tc>
          <w:tcPr>
            <w:tcW w:w="1344" w:type="dxa"/>
          </w:tcPr>
          <w:p w14:paraId="2E73D6CF" w14:textId="02CEC078"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768,207</w:t>
            </w:r>
          </w:p>
        </w:tc>
        <w:tc>
          <w:tcPr>
            <w:tcW w:w="801" w:type="dxa"/>
          </w:tcPr>
          <w:p w14:paraId="2D0485D0" w14:textId="0756BFB7"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13,020</w:t>
            </w:r>
          </w:p>
        </w:tc>
        <w:tc>
          <w:tcPr>
            <w:tcW w:w="831" w:type="dxa"/>
          </w:tcPr>
          <w:p w14:paraId="218E4266" w14:textId="65543D5F"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23</w:t>
            </w:r>
          </w:p>
        </w:tc>
        <w:tc>
          <w:tcPr>
            <w:tcW w:w="1353" w:type="dxa"/>
          </w:tcPr>
          <w:p w14:paraId="6996019E" w14:textId="113DC2F7"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371,610</w:t>
            </w:r>
          </w:p>
        </w:tc>
        <w:tc>
          <w:tcPr>
            <w:tcW w:w="908" w:type="dxa"/>
          </w:tcPr>
          <w:p w14:paraId="3AC8FDF0" w14:textId="29DB63AE"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16,156</w:t>
            </w:r>
          </w:p>
        </w:tc>
      </w:tr>
      <w:tr w:rsidR="00503E40" w:rsidRPr="009927E1" w14:paraId="15345320" w14:textId="77777777" w:rsidTr="00152856">
        <w:tc>
          <w:tcPr>
            <w:tcW w:w="9060" w:type="dxa"/>
            <w:gridSpan w:val="9"/>
          </w:tcPr>
          <w:p w14:paraId="0BF01A79" w14:textId="5EE6B8FF"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20,001-50,000 inhabitants</w:t>
            </w:r>
          </w:p>
        </w:tc>
      </w:tr>
      <w:tr w:rsidR="00503E40" w:rsidRPr="009927E1" w14:paraId="7E21E149" w14:textId="77777777" w:rsidTr="00152856">
        <w:tc>
          <w:tcPr>
            <w:tcW w:w="973" w:type="dxa"/>
          </w:tcPr>
          <w:p w14:paraId="55181144" w14:textId="6BC34438"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4</w:t>
            </w:r>
          </w:p>
        </w:tc>
        <w:tc>
          <w:tcPr>
            <w:tcW w:w="1290" w:type="dxa"/>
          </w:tcPr>
          <w:p w14:paraId="175B4AA7" w14:textId="3F5E116C"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114,402</w:t>
            </w:r>
          </w:p>
        </w:tc>
        <w:tc>
          <w:tcPr>
            <w:tcW w:w="720" w:type="dxa"/>
          </w:tcPr>
          <w:p w14:paraId="244BA031" w14:textId="5A51C0FF"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28,600</w:t>
            </w:r>
          </w:p>
        </w:tc>
        <w:tc>
          <w:tcPr>
            <w:tcW w:w="840" w:type="dxa"/>
          </w:tcPr>
          <w:p w14:paraId="044D4222" w14:textId="1DED9F82"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w:t>
            </w:r>
          </w:p>
        </w:tc>
        <w:tc>
          <w:tcPr>
            <w:tcW w:w="1344" w:type="dxa"/>
          </w:tcPr>
          <w:p w14:paraId="22EECD06" w14:textId="020AE7B0"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297,973</w:t>
            </w:r>
          </w:p>
        </w:tc>
        <w:tc>
          <w:tcPr>
            <w:tcW w:w="801" w:type="dxa"/>
          </w:tcPr>
          <w:p w14:paraId="3E3C1B46" w14:textId="495BF932"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29,797</w:t>
            </w:r>
          </w:p>
        </w:tc>
        <w:tc>
          <w:tcPr>
            <w:tcW w:w="831" w:type="dxa"/>
          </w:tcPr>
          <w:p w14:paraId="22EF19D5" w14:textId="15C8461F"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w:t>
            </w:r>
            <w:r w:rsidR="00BA19AC" w:rsidRPr="009927E1">
              <w:rPr>
                <w:rFonts w:ascii="Times New Roman" w:hAnsi="Times New Roman" w:cs="Times New Roman"/>
                <w:color w:val="000000"/>
                <w:lang w:val="en-GB"/>
              </w:rPr>
              <w:t>8</w:t>
            </w:r>
          </w:p>
        </w:tc>
        <w:tc>
          <w:tcPr>
            <w:tcW w:w="1353" w:type="dxa"/>
          </w:tcPr>
          <w:p w14:paraId="49BECC35" w14:textId="186A61A7"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1,124,473</w:t>
            </w:r>
          </w:p>
        </w:tc>
        <w:tc>
          <w:tcPr>
            <w:tcW w:w="908" w:type="dxa"/>
          </w:tcPr>
          <w:p w14:paraId="37ACE033" w14:textId="04B1E017" w:rsidR="00503E40" w:rsidRPr="009927E1" w:rsidRDefault="00BA19AC"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29,591</w:t>
            </w:r>
          </w:p>
        </w:tc>
      </w:tr>
      <w:tr w:rsidR="00503E40" w:rsidRPr="009927E1" w14:paraId="58CC7C79" w14:textId="77777777" w:rsidTr="00152856">
        <w:tc>
          <w:tcPr>
            <w:tcW w:w="9060" w:type="dxa"/>
            <w:gridSpan w:val="9"/>
          </w:tcPr>
          <w:p w14:paraId="4F5A5DC7" w14:textId="513B7490"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50,001-100,000 inhabitants</w:t>
            </w:r>
          </w:p>
        </w:tc>
      </w:tr>
      <w:tr w:rsidR="00503E40" w:rsidRPr="009927E1" w14:paraId="59F339A7" w14:textId="77777777" w:rsidTr="00152856">
        <w:tc>
          <w:tcPr>
            <w:tcW w:w="973" w:type="dxa"/>
          </w:tcPr>
          <w:p w14:paraId="37898E55" w14:textId="52130072"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c>
          <w:tcPr>
            <w:tcW w:w="1290" w:type="dxa"/>
          </w:tcPr>
          <w:p w14:paraId="3326121F" w14:textId="5BC4A7B2"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52,735</w:t>
            </w:r>
          </w:p>
        </w:tc>
        <w:tc>
          <w:tcPr>
            <w:tcW w:w="720" w:type="dxa"/>
          </w:tcPr>
          <w:p w14:paraId="5691EE6D" w14:textId="63F89041"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52,735</w:t>
            </w:r>
          </w:p>
        </w:tc>
        <w:tc>
          <w:tcPr>
            <w:tcW w:w="840" w:type="dxa"/>
          </w:tcPr>
          <w:p w14:paraId="3774AA28" w14:textId="3E04F972"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w:t>
            </w:r>
          </w:p>
        </w:tc>
        <w:tc>
          <w:tcPr>
            <w:tcW w:w="1344" w:type="dxa"/>
          </w:tcPr>
          <w:p w14:paraId="11B0A337" w14:textId="75710D74"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53,431</w:t>
            </w:r>
          </w:p>
        </w:tc>
        <w:tc>
          <w:tcPr>
            <w:tcW w:w="801" w:type="dxa"/>
          </w:tcPr>
          <w:p w14:paraId="407230EC" w14:textId="5B9B2029"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53,431</w:t>
            </w:r>
          </w:p>
        </w:tc>
        <w:tc>
          <w:tcPr>
            <w:tcW w:w="831" w:type="dxa"/>
          </w:tcPr>
          <w:p w14:paraId="77CBB38F" w14:textId="083EA50B"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22</w:t>
            </w:r>
          </w:p>
        </w:tc>
        <w:tc>
          <w:tcPr>
            <w:tcW w:w="1353" w:type="dxa"/>
          </w:tcPr>
          <w:p w14:paraId="5CB46F61" w14:textId="76C17368"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1,490,404</w:t>
            </w:r>
          </w:p>
        </w:tc>
        <w:tc>
          <w:tcPr>
            <w:tcW w:w="908" w:type="dxa"/>
          </w:tcPr>
          <w:p w14:paraId="1121D4F3" w14:textId="4263F6A8"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67,745</w:t>
            </w:r>
          </w:p>
        </w:tc>
      </w:tr>
      <w:tr w:rsidR="00503E40" w:rsidRPr="009927E1" w14:paraId="3A8BD1DF" w14:textId="77777777" w:rsidTr="00152856">
        <w:tc>
          <w:tcPr>
            <w:tcW w:w="9060" w:type="dxa"/>
            <w:gridSpan w:val="9"/>
          </w:tcPr>
          <w:p w14:paraId="0353A273" w14:textId="1457BBA8"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100,001-200,000 inhabitants</w:t>
            </w:r>
          </w:p>
        </w:tc>
      </w:tr>
      <w:tr w:rsidR="00503E40" w:rsidRPr="009927E1" w14:paraId="7C7B67EA" w14:textId="77777777" w:rsidTr="00152856">
        <w:tc>
          <w:tcPr>
            <w:tcW w:w="973" w:type="dxa"/>
          </w:tcPr>
          <w:p w14:paraId="40CE538A" w14:textId="1310DB4B"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290" w:type="dxa"/>
          </w:tcPr>
          <w:p w14:paraId="4667ABAD" w14:textId="08B977EF"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720" w:type="dxa"/>
          </w:tcPr>
          <w:p w14:paraId="1231DDD3" w14:textId="4E3ABB54"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40" w:type="dxa"/>
          </w:tcPr>
          <w:p w14:paraId="1E179031" w14:textId="080FAD21"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44" w:type="dxa"/>
          </w:tcPr>
          <w:p w14:paraId="0903658C" w14:textId="5C71855B"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01" w:type="dxa"/>
          </w:tcPr>
          <w:p w14:paraId="625B52BF" w14:textId="0A15E102"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31" w:type="dxa"/>
          </w:tcPr>
          <w:p w14:paraId="64824DA4" w14:textId="387E4A9A"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w:t>
            </w:r>
          </w:p>
        </w:tc>
        <w:tc>
          <w:tcPr>
            <w:tcW w:w="1353" w:type="dxa"/>
          </w:tcPr>
          <w:p w14:paraId="75E967C3" w14:textId="43A36B7D"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1,403,366</w:t>
            </w:r>
          </w:p>
        </w:tc>
        <w:tc>
          <w:tcPr>
            <w:tcW w:w="908" w:type="dxa"/>
          </w:tcPr>
          <w:p w14:paraId="163EA638" w14:textId="1EDB7110" w:rsidR="00503E40" w:rsidRPr="009927E1" w:rsidRDefault="000C028B"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140,336</w:t>
            </w:r>
          </w:p>
        </w:tc>
      </w:tr>
      <w:tr w:rsidR="00503E40" w:rsidRPr="009927E1" w14:paraId="7781D0CF" w14:textId="77777777" w:rsidTr="00152856">
        <w:tc>
          <w:tcPr>
            <w:tcW w:w="9060" w:type="dxa"/>
            <w:gridSpan w:val="9"/>
          </w:tcPr>
          <w:p w14:paraId="39D9E70E" w14:textId="51830FA7"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200,001-400,000 inhabitants</w:t>
            </w:r>
          </w:p>
        </w:tc>
      </w:tr>
      <w:tr w:rsidR="00503E40" w:rsidRPr="009927E1" w14:paraId="69E05BD1" w14:textId="77777777" w:rsidTr="00152856">
        <w:tc>
          <w:tcPr>
            <w:tcW w:w="973" w:type="dxa"/>
          </w:tcPr>
          <w:p w14:paraId="228A55C5" w14:textId="6A0B1F4C"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290" w:type="dxa"/>
          </w:tcPr>
          <w:p w14:paraId="3009238F" w14:textId="47BCA52A"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720" w:type="dxa"/>
          </w:tcPr>
          <w:p w14:paraId="69A5F93E" w14:textId="2B190E15"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40" w:type="dxa"/>
          </w:tcPr>
          <w:p w14:paraId="1F57A6A1" w14:textId="14101934"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1344" w:type="dxa"/>
          </w:tcPr>
          <w:p w14:paraId="00A01F92" w14:textId="48A3AC8B"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01" w:type="dxa"/>
          </w:tcPr>
          <w:p w14:paraId="19E7D68B" w14:textId="4A1F235E"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w:t>
            </w:r>
          </w:p>
        </w:tc>
        <w:tc>
          <w:tcPr>
            <w:tcW w:w="831" w:type="dxa"/>
          </w:tcPr>
          <w:p w14:paraId="6E1E564E" w14:textId="112BC9F7" w:rsidR="00503E40" w:rsidRPr="009927E1" w:rsidRDefault="00503E40"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w:t>
            </w:r>
          </w:p>
        </w:tc>
        <w:tc>
          <w:tcPr>
            <w:tcW w:w="1353" w:type="dxa"/>
          </w:tcPr>
          <w:p w14:paraId="1CE1E271" w14:textId="11D1C875"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1,762,426</w:t>
            </w:r>
          </w:p>
        </w:tc>
        <w:tc>
          <w:tcPr>
            <w:tcW w:w="908" w:type="dxa"/>
          </w:tcPr>
          <w:p w14:paraId="20B8BABB" w14:textId="03C11DE5"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251,775</w:t>
            </w:r>
          </w:p>
        </w:tc>
      </w:tr>
      <w:tr w:rsidR="00503E40" w:rsidRPr="009927E1" w14:paraId="2722925C" w14:textId="77777777" w:rsidTr="00152856">
        <w:tc>
          <w:tcPr>
            <w:tcW w:w="973" w:type="dxa"/>
          </w:tcPr>
          <w:p w14:paraId="19692FE6" w14:textId="55832AE5"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2,862</w:t>
            </w:r>
          </w:p>
        </w:tc>
        <w:tc>
          <w:tcPr>
            <w:tcW w:w="1290" w:type="dxa"/>
          </w:tcPr>
          <w:p w14:paraId="735F3F27" w14:textId="7A0BF8DA" w:rsidR="00503E40" w:rsidRPr="009927E1" w:rsidRDefault="008D0DB4"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9,114,873</w:t>
            </w:r>
          </w:p>
        </w:tc>
        <w:tc>
          <w:tcPr>
            <w:tcW w:w="720" w:type="dxa"/>
          </w:tcPr>
          <w:p w14:paraId="2806A8A4" w14:textId="7BB44319" w:rsidR="00503E40" w:rsidRPr="009927E1" w:rsidRDefault="00DE588E"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3,184</w:t>
            </w:r>
          </w:p>
        </w:tc>
        <w:tc>
          <w:tcPr>
            <w:tcW w:w="840" w:type="dxa"/>
          </w:tcPr>
          <w:p w14:paraId="22805D98" w14:textId="23997314"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216</w:t>
            </w:r>
          </w:p>
        </w:tc>
        <w:tc>
          <w:tcPr>
            <w:tcW w:w="1344" w:type="dxa"/>
          </w:tcPr>
          <w:p w14:paraId="319344AB" w14:textId="3B2BAEE4" w:rsidR="00503E40" w:rsidRPr="009927E1" w:rsidRDefault="00DE588E"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2,051,429</w:t>
            </w:r>
          </w:p>
        </w:tc>
        <w:tc>
          <w:tcPr>
            <w:tcW w:w="801" w:type="dxa"/>
          </w:tcPr>
          <w:p w14:paraId="79BE33A7" w14:textId="62EC3FC6" w:rsidR="00503E40" w:rsidRPr="009927E1" w:rsidRDefault="00DE588E"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9,497</w:t>
            </w:r>
          </w:p>
        </w:tc>
        <w:tc>
          <w:tcPr>
            <w:tcW w:w="831" w:type="dxa"/>
          </w:tcPr>
          <w:p w14:paraId="10D07E37" w14:textId="7706029E" w:rsidR="00503E40" w:rsidRPr="009927E1" w:rsidRDefault="00E02291"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102</w:t>
            </w:r>
          </w:p>
        </w:tc>
        <w:tc>
          <w:tcPr>
            <w:tcW w:w="1353" w:type="dxa"/>
          </w:tcPr>
          <w:p w14:paraId="2986B0DD" w14:textId="33F3E828" w:rsidR="00503E40" w:rsidRPr="009927E1" w:rsidRDefault="00DE588E"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w:t>
            </w:r>
            <w:r w:rsidR="0089757F" w:rsidRPr="009927E1">
              <w:rPr>
                <w:rFonts w:ascii="Times New Roman" w:hAnsi="Times New Roman" w:cs="Times New Roman"/>
                <w:color w:val="000000"/>
                <w:lang w:val="en-GB"/>
              </w:rPr>
              <w:t>,</w:t>
            </w:r>
            <w:r w:rsidRPr="009927E1">
              <w:rPr>
                <w:rFonts w:ascii="Times New Roman" w:hAnsi="Times New Roman" w:cs="Times New Roman"/>
                <w:color w:val="000000"/>
                <w:lang w:val="en-GB"/>
              </w:rPr>
              <w:t>170</w:t>
            </w:r>
            <w:r w:rsidR="0089757F" w:rsidRPr="009927E1">
              <w:rPr>
                <w:rFonts w:ascii="Times New Roman" w:hAnsi="Times New Roman" w:cs="Times New Roman"/>
                <w:color w:val="000000"/>
                <w:lang w:val="en-GB"/>
              </w:rPr>
              <w:t>,</w:t>
            </w:r>
            <w:r w:rsidRPr="009927E1">
              <w:rPr>
                <w:rFonts w:ascii="Times New Roman" w:hAnsi="Times New Roman" w:cs="Times New Roman"/>
                <w:color w:val="000000"/>
                <w:lang w:val="en-GB"/>
              </w:rPr>
              <w:t>530</w:t>
            </w:r>
          </w:p>
        </w:tc>
        <w:tc>
          <w:tcPr>
            <w:tcW w:w="908" w:type="dxa"/>
          </w:tcPr>
          <w:p w14:paraId="2F3BE08F" w14:textId="4FB4E523" w:rsidR="00503E40" w:rsidRPr="009927E1" w:rsidRDefault="00DE588E"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60,495</w:t>
            </w:r>
          </w:p>
        </w:tc>
      </w:tr>
      <w:tr w:rsidR="00CF6EB7" w:rsidRPr="009927E1" w14:paraId="7E10EF58" w14:textId="77777777" w:rsidTr="00152856">
        <w:tc>
          <w:tcPr>
            <w:tcW w:w="5968" w:type="dxa"/>
            <w:gridSpan w:val="6"/>
          </w:tcPr>
          <w:p w14:paraId="50DAC5DE" w14:textId="299C2D1B" w:rsidR="00CF6EB7" w:rsidRPr="009927E1" w:rsidRDefault="00CF6EB7" w:rsidP="004B7962">
            <w:pPr>
              <w:suppressAutoHyphens/>
              <w:autoSpaceDE w:val="0"/>
              <w:autoSpaceDN w:val="0"/>
              <w:adjustRightInd w:val="0"/>
              <w:jc w:val="right"/>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Including Bucharest</w:t>
            </w:r>
          </w:p>
        </w:tc>
        <w:tc>
          <w:tcPr>
            <w:tcW w:w="831" w:type="dxa"/>
          </w:tcPr>
          <w:p w14:paraId="73E5C0A5" w14:textId="1CEA77B0" w:rsidR="00CF6EB7" w:rsidRPr="009927E1" w:rsidRDefault="00CF6EB7"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103</w:t>
            </w:r>
          </w:p>
        </w:tc>
        <w:tc>
          <w:tcPr>
            <w:tcW w:w="1353" w:type="dxa"/>
          </w:tcPr>
          <w:p w14:paraId="501C6277" w14:textId="0E98A79C" w:rsidR="00CF6EB7" w:rsidRPr="009927E1" w:rsidRDefault="00CF6EB7"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7,887,513</w:t>
            </w:r>
          </w:p>
        </w:tc>
        <w:tc>
          <w:tcPr>
            <w:tcW w:w="908" w:type="dxa"/>
          </w:tcPr>
          <w:p w14:paraId="6BFA580E" w14:textId="25FDD180" w:rsidR="00CF6EB7" w:rsidRPr="009927E1" w:rsidRDefault="00CF6EB7" w:rsidP="004B7962">
            <w:pPr>
              <w:suppressAutoHyphens/>
              <w:autoSpaceDE w:val="0"/>
              <w:autoSpaceDN w:val="0"/>
              <w:adjustRightInd w:val="0"/>
              <w:jc w:val="center"/>
              <w:textAlignment w:val="center"/>
              <w:rPr>
                <w:rFonts w:ascii="Times New Roman" w:hAnsi="Times New Roman" w:cs="Times New Roman"/>
                <w:color w:val="000000"/>
                <w:lang w:val="en-GB"/>
              </w:rPr>
            </w:pPr>
            <w:r w:rsidRPr="009927E1">
              <w:rPr>
                <w:rFonts w:ascii="Times New Roman" w:hAnsi="Times New Roman" w:cs="Times New Roman"/>
                <w:color w:val="000000"/>
                <w:lang w:val="en-GB"/>
              </w:rPr>
              <w:t>76,577</w:t>
            </w:r>
          </w:p>
        </w:tc>
      </w:tr>
    </w:tbl>
    <w:p w14:paraId="652343C4" w14:textId="5D7ECF43" w:rsidR="000836AE" w:rsidRPr="009927E1" w:rsidRDefault="00EF7FD5" w:rsidP="005F5C3C">
      <w:pPr>
        <w:suppressAutoHyphens/>
        <w:autoSpaceDE w:val="0"/>
        <w:autoSpaceDN w:val="0"/>
        <w:adjustRightInd w:val="0"/>
        <w:spacing w:after="0" w:line="360" w:lineRule="auto"/>
        <w:jc w:val="both"/>
        <w:textAlignment w:val="center"/>
        <w:rPr>
          <w:rFonts w:ascii="Times New Roman" w:hAnsi="Times New Roman" w:cs="Times New Roman"/>
          <w:color w:val="000000"/>
          <w:lang w:val="en-GB"/>
        </w:rPr>
      </w:pPr>
      <w:bookmarkStart w:id="4" w:name="_Hlk163388700"/>
      <w:r w:rsidRPr="009927E1">
        <w:rPr>
          <w:rFonts w:ascii="Times New Roman" w:hAnsi="Times New Roman" w:cs="Times New Roman"/>
          <w:i/>
          <w:iCs/>
          <w:color w:val="000000"/>
          <w:lang w:val="en-GB"/>
        </w:rPr>
        <w:t>Source</w:t>
      </w:r>
      <w:r w:rsidRPr="009927E1">
        <w:rPr>
          <w:rFonts w:ascii="Times New Roman" w:hAnsi="Times New Roman" w:cs="Times New Roman"/>
          <w:color w:val="000000"/>
          <w:lang w:val="en-GB"/>
        </w:rPr>
        <w:t>: Population Census 2021</w:t>
      </w:r>
      <w:r w:rsidR="00152856" w:rsidRPr="009927E1">
        <w:rPr>
          <w:rFonts w:ascii="Times New Roman" w:hAnsi="Times New Roman" w:cs="Times New Roman"/>
          <w:color w:val="000000"/>
          <w:lang w:val="en-GB"/>
        </w:rPr>
        <w:t xml:space="preserve"> (Tab1.22_RPL2021)</w:t>
      </w:r>
      <w:r w:rsidR="00124570" w:rsidRPr="009927E1">
        <w:rPr>
          <w:rFonts w:ascii="Times New Roman" w:hAnsi="Times New Roman" w:cs="Times New Roman"/>
          <w:color w:val="000000"/>
          <w:lang w:val="en-GB"/>
        </w:rPr>
        <w:t>.</w:t>
      </w:r>
    </w:p>
    <w:p w14:paraId="26A9701E" w14:textId="6AF8AB17" w:rsidR="00EF7FD5" w:rsidRPr="009927E1" w:rsidRDefault="009120AB" w:rsidP="001D7322">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bookmarkStart w:id="5" w:name="_Hlk161304993"/>
      <w:bookmarkEnd w:id="4"/>
      <w:r w:rsidRPr="009927E1">
        <w:rPr>
          <w:rFonts w:ascii="Times New Roman" w:hAnsi="Times New Roman" w:cs="Times New Roman"/>
          <w:color w:val="000000"/>
          <w:sz w:val="24"/>
          <w:szCs w:val="24"/>
          <w:lang w:val="en-GB"/>
        </w:rPr>
        <w:t xml:space="preserve">From the presented data </w:t>
      </w:r>
      <w:r w:rsidR="00467A08">
        <w:rPr>
          <w:rFonts w:ascii="Times New Roman" w:hAnsi="Times New Roman" w:cs="Times New Roman"/>
          <w:color w:val="000000"/>
          <w:sz w:val="24"/>
          <w:szCs w:val="24"/>
          <w:lang w:val="en-GB"/>
        </w:rPr>
        <w:t>we</w:t>
      </w:r>
      <w:r w:rsidRPr="009927E1">
        <w:rPr>
          <w:rFonts w:ascii="Times New Roman" w:hAnsi="Times New Roman" w:cs="Times New Roman"/>
          <w:color w:val="000000"/>
          <w:sz w:val="24"/>
          <w:szCs w:val="24"/>
          <w:lang w:val="en-GB"/>
        </w:rPr>
        <w:t xml:space="preserve"> can see that the population of Romania is distributed relatively equally between the urban and the rural areas. As concerns the average population, this is of 5,989 inhabitants per municipality, with an average of 3,184 inhabitants in the case of communes</w:t>
      </w:r>
      <w:r w:rsidR="00771D07">
        <w:rPr>
          <w:rFonts w:ascii="Times New Roman" w:hAnsi="Times New Roman" w:cs="Times New Roman"/>
          <w:color w:val="000000"/>
          <w:sz w:val="24"/>
          <w:szCs w:val="24"/>
          <w:lang w:val="en-GB"/>
        </w:rPr>
        <w:t>,</w:t>
      </w:r>
      <w:r w:rsidRPr="009927E1">
        <w:rPr>
          <w:rFonts w:ascii="Times New Roman" w:hAnsi="Times New Roman" w:cs="Times New Roman"/>
          <w:color w:val="000000"/>
          <w:sz w:val="24"/>
          <w:szCs w:val="24"/>
          <w:lang w:val="en-GB"/>
        </w:rPr>
        <w:t xml:space="preserve"> 9,497 inhabitants</w:t>
      </w:r>
      <w:r w:rsidR="00A85473" w:rsidRPr="009927E1">
        <w:rPr>
          <w:rFonts w:ascii="Times New Roman" w:hAnsi="Times New Roman" w:cs="Times New Roman"/>
          <w:color w:val="000000"/>
          <w:sz w:val="24"/>
          <w:szCs w:val="24"/>
          <w:lang w:val="en-GB"/>
        </w:rPr>
        <w:t xml:space="preserve"> for towns</w:t>
      </w:r>
      <w:r w:rsidRPr="009927E1">
        <w:rPr>
          <w:rFonts w:ascii="Times New Roman" w:hAnsi="Times New Roman" w:cs="Times New Roman"/>
          <w:color w:val="000000"/>
          <w:sz w:val="24"/>
          <w:szCs w:val="24"/>
          <w:lang w:val="en-GB"/>
        </w:rPr>
        <w:t xml:space="preserve">, respectively </w:t>
      </w:r>
      <w:r w:rsidR="00A85473" w:rsidRPr="009927E1">
        <w:rPr>
          <w:rFonts w:ascii="Times New Roman" w:hAnsi="Times New Roman" w:cs="Times New Roman"/>
          <w:color w:val="000000"/>
          <w:sz w:val="24"/>
          <w:szCs w:val="24"/>
          <w:lang w:val="en-GB"/>
        </w:rPr>
        <w:t>60,495</w:t>
      </w:r>
      <w:r w:rsidRPr="009927E1">
        <w:rPr>
          <w:rFonts w:ascii="Times New Roman" w:hAnsi="Times New Roman" w:cs="Times New Roman"/>
          <w:color w:val="000000"/>
          <w:sz w:val="24"/>
          <w:szCs w:val="24"/>
          <w:lang w:val="en-GB"/>
        </w:rPr>
        <w:t xml:space="preserve"> in the case of </w:t>
      </w:r>
      <w:r w:rsidR="00A85473" w:rsidRPr="009927E1">
        <w:rPr>
          <w:rFonts w:ascii="Times New Roman" w:hAnsi="Times New Roman" w:cs="Times New Roman"/>
          <w:color w:val="000000"/>
          <w:sz w:val="24"/>
          <w:szCs w:val="24"/>
          <w:lang w:val="en-GB"/>
        </w:rPr>
        <w:t>ci</w:t>
      </w:r>
      <w:r w:rsidRPr="009927E1">
        <w:rPr>
          <w:rFonts w:ascii="Times New Roman" w:hAnsi="Times New Roman" w:cs="Times New Roman"/>
          <w:color w:val="000000"/>
          <w:sz w:val="24"/>
          <w:szCs w:val="24"/>
          <w:lang w:val="en-GB"/>
        </w:rPr>
        <w:t>ties</w:t>
      </w:r>
      <w:r w:rsidR="00A85473" w:rsidRPr="009927E1">
        <w:rPr>
          <w:rFonts w:ascii="Times New Roman" w:hAnsi="Times New Roman" w:cs="Times New Roman"/>
          <w:color w:val="000000"/>
          <w:sz w:val="24"/>
          <w:szCs w:val="24"/>
          <w:lang w:val="en-GB"/>
        </w:rPr>
        <w:t xml:space="preserve"> (76,577 inhabitants if we include Bucharest)</w:t>
      </w:r>
      <w:r w:rsidRPr="009927E1">
        <w:rPr>
          <w:rFonts w:ascii="Times New Roman" w:hAnsi="Times New Roman" w:cs="Times New Roman"/>
          <w:color w:val="000000"/>
          <w:sz w:val="24"/>
          <w:szCs w:val="24"/>
          <w:lang w:val="en-GB"/>
        </w:rPr>
        <w:t>.</w:t>
      </w:r>
      <w:r w:rsidR="00400E92" w:rsidRPr="009927E1">
        <w:rPr>
          <w:rFonts w:ascii="Times New Roman" w:hAnsi="Times New Roman" w:cs="Times New Roman"/>
          <w:color w:val="000000"/>
          <w:sz w:val="24"/>
          <w:szCs w:val="24"/>
          <w:lang w:val="en-GB"/>
        </w:rPr>
        <w:t xml:space="preserve"> As we discussed on the data presented in </w:t>
      </w:r>
      <w:r w:rsidR="00400E92" w:rsidRPr="009927E1">
        <w:rPr>
          <w:rFonts w:ascii="Times New Roman" w:hAnsi="Times New Roman" w:cs="Times New Roman"/>
          <w:i/>
          <w:iCs/>
          <w:color w:val="000000"/>
          <w:sz w:val="24"/>
          <w:szCs w:val="24"/>
          <w:lang w:val="en-GB"/>
        </w:rPr>
        <w:t>Table 1</w:t>
      </w:r>
      <w:r w:rsidR="00400E92" w:rsidRPr="009927E1">
        <w:rPr>
          <w:rFonts w:ascii="Times New Roman" w:hAnsi="Times New Roman" w:cs="Times New Roman"/>
          <w:color w:val="000000"/>
          <w:sz w:val="24"/>
          <w:szCs w:val="24"/>
          <w:lang w:val="en-GB"/>
        </w:rPr>
        <w:t xml:space="preserve">, Romania presents moderate fragmentation of municipalities, </w:t>
      </w:r>
      <w:r w:rsidR="00467A08">
        <w:rPr>
          <w:rFonts w:ascii="Times New Roman" w:hAnsi="Times New Roman" w:cs="Times New Roman"/>
          <w:color w:val="000000"/>
          <w:sz w:val="24"/>
          <w:szCs w:val="24"/>
          <w:lang w:val="en-GB"/>
        </w:rPr>
        <w:t xml:space="preserve">partially </w:t>
      </w:r>
      <w:r w:rsidR="00400E92" w:rsidRPr="009927E1">
        <w:rPr>
          <w:rFonts w:ascii="Times New Roman" w:hAnsi="Times New Roman" w:cs="Times New Roman"/>
          <w:color w:val="000000"/>
          <w:sz w:val="24"/>
          <w:szCs w:val="24"/>
          <w:lang w:val="en-GB"/>
        </w:rPr>
        <w:t>determined by de-scaling made in 2004-2005, but also by depopulation, migration and aging of the rural population.</w:t>
      </w:r>
    </w:p>
    <w:p w14:paraId="266AA88F" w14:textId="77777777" w:rsidR="007B2DC3" w:rsidRDefault="00400E92" w:rsidP="00B36F7C">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lastRenderedPageBreak/>
        <w:t xml:space="preserve">The situation in the rural areas deserve a more detailed discussion: Romania has </w:t>
      </w:r>
      <w:r w:rsidR="003A6C80" w:rsidRPr="009927E1">
        <w:rPr>
          <w:rFonts w:ascii="Times New Roman" w:hAnsi="Times New Roman" w:cs="Times New Roman"/>
          <w:color w:val="000000"/>
          <w:sz w:val="24"/>
          <w:szCs w:val="24"/>
          <w:lang w:val="en-GB"/>
        </w:rPr>
        <w:t>not</w:t>
      </w:r>
      <w:r w:rsidRPr="009927E1">
        <w:rPr>
          <w:rFonts w:ascii="Times New Roman" w:hAnsi="Times New Roman" w:cs="Times New Roman"/>
          <w:color w:val="000000"/>
          <w:sz w:val="24"/>
          <w:szCs w:val="24"/>
          <w:lang w:val="en-GB"/>
        </w:rPr>
        <w:t xml:space="preserve"> an extreme polarization as that from Greece </w:t>
      </w:r>
      <w:r w:rsidR="00451E4C" w:rsidRPr="009927E1">
        <w:rPr>
          <w:rFonts w:ascii="Times New Roman" w:hAnsi="Times New Roman" w:cs="Times New Roman"/>
          <w:color w:val="000000"/>
          <w:sz w:val="24"/>
          <w:szCs w:val="24"/>
          <w:lang w:val="en-GB"/>
        </w:rPr>
        <w:t>before territorial reforms</w:t>
      </w:r>
      <w:r w:rsidRPr="009927E1">
        <w:rPr>
          <w:rFonts w:ascii="Times New Roman" w:hAnsi="Times New Roman" w:cs="Times New Roman"/>
          <w:color w:val="000000"/>
          <w:sz w:val="24"/>
          <w:szCs w:val="24"/>
          <w:lang w:val="en-GB"/>
        </w:rPr>
        <w:t xml:space="preserve">, France, Spain, etc. </w:t>
      </w:r>
      <w:r w:rsidR="0074297C" w:rsidRPr="009927E1">
        <w:rPr>
          <w:rFonts w:ascii="Times New Roman" w:hAnsi="Times New Roman" w:cs="Times New Roman"/>
          <w:color w:val="000000"/>
          <w:sz w:val="24"/>
          <w:szCs w:val="24"/>
          <w:lang w:val="en-GB"/>
        </w:rPr>
        <w:t>O</w:t>
      </w:r>
      <w:r w:rsidR="003A6C80" w:rsidRPr="009927E1">
        <w:rPr>
          <w:rFonts w:ascii="Times New Roman" w:hAnsi="Times New Roman" w:cs="Times New Roman"/>
          <w:color w:val="000000"/>
          <w:sz w:val="24"/>
          <w:szCs w:val="24"/>
          <w:lang w:val="en-GB"/>
        </w:rPr>
        <w:t>nly 141</w:t>
      </w:r>
      <w:r w:rsidR="0074297C" w:rsidRPr="009927E1">
        <w:rPr>
          <w:rFonts w:ascii="Times New Roman" w:hAnsi="Times New Roman" w:cs="Times New Roman"/>
          <w:color w:val="000000"/>
          <w:sz w:val="24"/>
          <w:szCs w:val="24"/>
          <w:lang w:val="en-GB"/>
        </w:rPr>
        <w:t xml:space="preserve"> communes</w:t>
      </w:r>
      <w:r w:rsidR="003A6C80" w:rsidRPr="009927E1">
        <w:rPr>
          <w:rFonts w:ascii="Times New Roman" w:hAnsi="Times New Roman" w:cs="Times New Roman"/>
          <w:color w:val="000000"/>
          <w:sz w:val="24"/>
          <w:szCs w:val="24"/>
          <w:lang w:val="en-GB"/>
        </w:rPr>
        <w:t xml:space="preserve"> (0,05%</w:t>
      </w:r>
      <w:r w:rsidR="0074297C" w:rsidRPr="009927E1">
        <w:rPr>
          <w:rFonts w:ascii="Times New Roman" w:hAnsi="Times New Roman" w:cs="Times New Roman"/>
          <w:color w:val="000000"/>
          <w:sz w:val="24"/>
          <w:szCs w:val="24"/>
          <w:lang w:val="en-GB"/>
        </w:rPr>
        <w:t xml:space="preserve"> of the total</w:t>
      </w:r>
      <w:r w:rsidR="003A6C80" w:rsidRPr="009927E1">
        <w:rPr>
          <w:rFonts w:ascii="Times New Roman" w:hAnsi="Times New Roman" w:cs="Times New Roman"/>
          <w:color w:val="000000"/>
          <w:sz w:val="24"/>
          <w:szCs w:val="24"/>
          <w:lang w:val="en-GB"/>
        </w:rPr>
        <w:t xml:space="preserve"> number of communes</w:t>
      </w:r>
      <w:r w:rsidR="0074297C" w:rsidRPr="009927E1">
        <w:rPr>
          <w:rFonts w:ascii="Times New Roman" w:hAnsi="Times New Roman" w:cs="Times New Roman"/>
          <w:color w:val="000000"/>
          <w:sz w:val="24"/>
          <w:szCs w:val="24"/>
          <w:lang w:val="en-GB"/>
        </w:rPr>
        <w:t>)</w:t>
      </w:r>
      <w:r w:rsidR="003A6C80" w:rsidRPr="009927E1">
        <w:rPr>
          <w:rFonts w:ascii="Times New Roman" w:hAnsi="Times New Roman" w:cs="Times New Roman"/>
          <w:color w:val="000000"/>
          <w:sz w:val="24"/>
          <w:szCs w:val="24"/>
          <w:lang w:val="en-GB"/>
        </w:rPr>
        <w:t xml:space="preserve"> are under 1,000 inhabitants</w:t>
      </w:r>
      <w:r w:rsidR="0074297C" w:rsidRPr="009927E1">
        <w:rPr>
          <w:rFonts w:ascii="Times New Roman" w:hAnsi="Times New Roman" w:cs="Times New Roman"/>
          <w:color w:val="000000"/>
          <w:sz w:val="24"/>
          <w:szCs w:val="24"/>
          <w:lang w:val="en-GB"/>
        </w:rPr>
        <w:t xml:space="preserve">, with a population of 104,299 inhabitants (0,01% of the </w:t>
      </w:r>
      <w:r w:rsidR="00827AE4">
        <w:rPr>
          <w:rFonts w:ascii="Times New Roman" w:hAnsi="Times New Roman" w:cs="Times New Roman"/>
          <w:color w:val="000000"/>
          <w:sz w:val="24"/>
          <w:szCs w:val="24"/>
          <w:lang w:val="en-GB"/>
        </w:rPr>
        <w:t>Romanian</w:t>
      </w:r>
      <w:r w:rsidR="0074297C" w:rsidRPr="009927E1">
        <w:rPr>
          <w:rFonts w:ascii="Times New Roman" w:hAnsi="Times New Roman" w:cs="Times New Roman"/>
          <w:color w:val="000000"/>
          <w:sz w:val="24"/>
          <w:szCs w:val="24"/>
          <w:lang w:val="en-GB"/>
        </w:rPr>
        <w:t xml:space="preserve"> </w:t>
      </w:r>
      <w:r w:rsidR="00A0329A">
        <w:rPr>
          <w:rFonts w:ascii="Times New Roman" w:hAnsi="Times New Roman" w:cs="Times New Roman"/>
          <w:color w:val="000000"/>
          <w:sz w:val="24"/>
          <w:szCs w:val="24"/>
          <w:lang w:val="en-GB"/>
        </w:rPr>
        <w:t xml:space="preserve">rural </w:t>
      </w:r>
      <w:r w:rsidR="0074297C" w:rsidRPr="009927E1">
        <w:rPr>
          <w:rFonts w:ascii="Times New Roman" w:hAnsi="Times New Roman" w:cs="Times New Roman"/>
          <w:color w:val="000000"/>
          <w:sz w:val="24"/>
          <w:szCs w:val="24"/>
          <w:lang w:val="en-GB"/>
        </w:rPr>
        <w:t>population)</w:t>
      </w:r>
      <w:r w:rsidR="003A6C80" w:rsidRPr="009927E1">
        <w:rPr>
          <w:rFonts w:ascii="Times New Roman" w:hAnsi="Times New Roman" w:cs="Times New Roman"/>
          <w:color w:val="000000"/>
          <w:sz w:val="24"/>
          <w:szCs w:val="24"/>
          <w:lang w:val="en-GB"/>
        </w:rPr>
        <w:t xml:space="preserve">; 465 (16,2%) are under 1,500 inhabitants </w:t>
      </w:r>
      <w:r w:rsidR="0074297C" w:rsidRPr="009927E1">
        <w:rPr>
          <w:rFonts w:ascii="Times New Roman" w:hAnsi="Times New Roman" w:cs="Times New Roman"/>
          <w:color w:val="000000"/>
          <w:sz w:val="24"/>
          <w:szCs w:val="24"/>
          <w:lang w:val="en-GB"/>
        </w:rPr>
        <w:t xml:space="preserve">(0,05%) </w:t>
      </w:r>
      <w:r w:rsidR="003A6C80" w:rsidRPr="009927E1">
        <w:rPr>
          <w:rFonts w:ascii="Times New Roman" w:hAnsi="Times New Roman" w:cs="Times New Roman"/>
          <w:color w:val="000000"/>
          <w:sz w:val="24"/>
          <w:szCs w:val="24"/>
          <w:lang w:val="en-GB"/>
        </w:rPr>
        <w:t>and 888 (31%) are under 2,000 inhabitants</w:t>
      </w:r>
      <w:r w:rsidR="0074297C" w:rsidRPr="009927E1">
        <w:rPr>
          <w:rFonts w:ascii="Times New Roman" w:hAnsi="Times New Roman" w:cs="Times New Roman"/>
          <w:color w:val="000000"/>
          <w:sz w:val="24"/>
          <w:szCs w:val="24"/>
          <w:lang w:val="en-GB"/>
        </w:rPr>
        <w:t>, with a population of 1,269,418 (13,9%)</w:t>
      </w:r>
      <w:r w:rsidR="003A6C80" w:rsidRPr="009927E1">
        <w:rPr>
          <w:rFonts w:ascii="Times New Roman" w:hAnsi="Times New Roman" w:cs="Times New Roman"/>
          <w:color w:val="000000"/>
          <w:sz w:val="24"/>
          <w:szCs w:val="24"/>
          <w:lang w:val="en-GB"/>
        </w:rPr>
        <w:t>.</w:t>
      </w:r>
    </w:p>
    <w:p w14:paraId="544AA583" w14:textId="398E62A2" w:rsidR="00451E4C" w:rsidRPr="009927E1" w:rsidRDefault="0074297C" w:rsidP="00B36F7C">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One conclusion is important to be outlined at this moment: the population from the municipalities under 2,000 inhabitants (rural municipalities) represent</w:t>
      </w:r>
      <w:r w:rsidR="00A0329A">
        <w:rPr>
          <w:rFonts w:ascii="Times New Roman" w:hAnsi="Times New Roman" w:cs="Times New Roman"/>
          <w:color w:val="000000"/>
          <w:sz w:val="24"/>
          <w:szCs w:val="24"/>
          <w:lang w:val="en-GB"/>
        </w:rPr>
        <w:t>s</w:t>
      </w:r>
      <w:r w:rsidRPr="009927E1">
        <w:rPr>
          <w:rFonts w:ascii="Times New Roman" w:hAnsi="Times New Roman" w:cs="Times New Roman"/>
          <w:color w:val="000000"/>
          <w:sz w:val="24"/>
          <w:szCs w:val="24"/>
          <w:lang w:val="en-GB"/>
        </w:rPr>
        <w:t xml:space="preserve"> only one third of the communes and have about 14% of </w:t>
      </w:r>
      <w:r w:rsidR="00B36F7C" w:rsidRPr="009927E1">
        <w:rPr>
          <w:rFonts w:ascii="Times New Roman" w:hAnsi="Times New Roman" w:cs="Times New Roman"/>
          <w:color w:val="000000"/>
          <w:sz w:val="24"/>
          <w:szCs w:val="24"/>
          <w:lang w:val="en-GB"/>
        </w:rPr>
        <w:t>the rural population. They became insignificant when we look at the entire population of Romania. It is obvious that this type of municipalities has some problems of service delivery and efficiency, but the merger will not solve those problems. These communes are mainly</w:t>
      </w:r>
      <w:r w:rsidR="00903B98">
        <w:rPr>
          <w:rFonts w:ascii="Times New Roman" w:hAnsi="Times New Roman" w:cs="Times New Roman"/>
          <w:color w:val="000000"/>
          <w:sz w:val="24"/>
          <w:szCs w:val="24"/>
          <w:lang w:val="en-GB"/>
        </w:rPr>
        <w:t xml:space="preserve"> situated</w:t>
      </w:r>
      <w:r w:rsidR="00B36F7C" w:rsidRPr="009927E1">
        <w:rPr>
          <w:rFonts w:ascii="Times New Roman" w:hAnsi="Times New Roman" w:cs="Times New Roman"/>
          <w:color w:val="000000"/>
          <w:sz w:val="24"/>
          <w:szCs w:val="24"/>
          <w:lang w:val="en-GB"/>
        </w:rPr>
        <w:t xml:space="preserve"> in isolated areas (mountains, Danube Delta, etc.), with rapidly aging population</w:t>
      </w:r>
      <w:r w:rsidR="00914C49">
        <w:rPr>
          <w:rFonts w:ascii="Times New Roman" w:hAnsi="Times New Roman" w:cs="Times New Roman"/>
          <w:color w:val="000000"/>
          <w:sz w:val="24"/>
          <w:szCs w:val="24"/>
          <w:lang w:val="en-GB"/>
        </w:rPr>
        <w:t>, migration and depopulation</w:t>
      </w:r>
      <w:r w:rsidR="00451E4C" w:rsidRPr="009927E1">
        <w:rPr>
          <w:rFonts w:ascii="Times New Roman" w:hAnsi="Times New Roman" w:cs="Times New Roman"/>
          <w:color w:val="000000"/>
          <w:sz w:val="24"/>
          <w:szCs w:val="24"/>
          <w:lang w:val="en-GB"/>
        </w:rPr>
        <w:t>.</w:t>
      </w:r>
    </w:p>
    <w:p w14:paraId="2C8AC151" w14:textId="24821995" w:rsidR="00400E92" w:rsidRPr="009927E1" w:rsidRDefault="002054EC" w:rsidP="00B36F7C">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w:t>
      </w:r>
      <w:r w:rsidR="00400E92" w:rsidRPr="009927E1">
        <w:rPr>
          <w:rFonts w:ascii="Times New Roman" w:hAnsi="Times New Roman" w:cs="Times New Roman"/>
          <w:color w:val="000000"/>
          <w:sz w:val="24"/>
          <w:szCs w:val="24"/>
          <w:lang w:val="en-GB"/>
        </w:rPr>
        <w:t xml:space="preserve"> average size </w:t>
      </w:r>
      <w:r w:rsidR="000A3A0A">
        <w:rPr>
          <w:rFonts w:ascii="Times New Roman" w:hAnsi="Times New Roman" w:cs="Times New Roman"/>
          <w:color w:val="000000"/>
          <w:sz w:val="24"/>
          <w:szCs w:val="24"/>
          <w:lang w:val="en-GB"/>
        </w:rPr>
        <w:t xml:space="preserve">of the smallest category of Romanian municipalities </w:t>
      </w:r>
      <w:r w:rsidR="00B36F7C" w:rsidRPr="009927E1">
        <w:rPr>
          <w:rFonts w:ascii="Times New Roman" w:hAnsi="Times New Roman" w:cs="Times New Roman"/>
          <w:color w:val="000000"/>
          <w:sz w:val="24"/>
          <w:szCs w:val="24"/>
          <w:lang w:val="en-GB"/>
        </w:rPr>
        <w:t>is</w:t>
      </w:r>
      <w:r w:rsidR="00400E92" w:rsidRPr="009927E1">
        <w:rPr>
          <w:rFonts w:ascii="Times New Roman" w:hAnsi="Times New Roman" w:cs="Times New Roman"/>
          <w:color w:val="000000"/>
          <w:sz w:val="24"/>
          <w:szCs w:val="24"/>
          <w:lang w:val="en-GB"/>
        </w:rPr>
        <w:t xml:space="preserve"> 739</w:t>
      </w:r>
      <w:r w:rsidR="00B36F7C" w:rsidRPr="009927E1">
        <w:rPr>
          <w:rFonts w:ascii="Times New Roman" w:hAnsi="Times New Roman" w:cs="Times New Roman"/>
          <w:color w:val="000000"/>
          <w:sz w:val="24"/>
          <w:szCs w:val="24"/>
          <w:lang w:val="en-GB"/>
        </w:rPr>
        <w:t xml:space="preserve"> inhabitants; the extreme cases are </w:t>
      </w:r>
      <w:r w:rsidR="003A6C80" w:rsidRPr="009927E1">
        <w:rPr>
          <w:rFonts w:ascii="Times New Roman" w:hAnsi="Times New Roman" w:cs="Times New Roman"/>
          <w:color w:val="000000"/>
          <w:sz w:val="24"/>
          <w:szCs w:val="24"/>
          <w:lang w:val="en-GB"/>
        </w:rPr>
        <w:t>Bătrâna, Hunedoara County, with 88 inhabitants and Brebu Nou, Caraș-Severin County, with 166 inhabitants.</w:t>
      </w:r>
      <w:r w:rsidR="00310121" w:rsidRPr="009927E1">
        <w:rPr>
          <w:rFonts w:ascii="Times New Roman" w:hAnsi="Times New Roman" w:cs="Times New Roman"/>
          <w:color w:val="000000"/>
          <w:sz w:val="24"/>
          <w:szCs w:val="24"/>
          <w:lang w:val="en-GB"/>
        </w:rPr>
        <w:t xml:space="preserve"> If we look to cities, the average size is over 60,000 inhabitants that is showing the rapid economic development of the urban areas, especially after EU accession.</w:t>
      </w:r>
      <w:r w:rsidR="00451E4C" w:rsidRPr="009927E1">
        <w:rPr>
          <w:rFonts w:ascii="Times New Roman" w:hAnsi="Times New Roman" w:cs="Times New Roman"/>
          <w:color w:val="000000"/>
          <w:sz w:val="24"/>
          <w:szCs w:val="24"/>
          <w:lang w:val="en-GB"/>
        </w:rPr>
        <w:t xml:space="preserve"> But in the case of cities, as already mentioned, we have a polarization between small and large cities, one quarter of cities (25) having less than 20,000 inhabitants.</w:t>
      </w:r>
    </w:p>
    <w:p w14:paraId="197DCDF3" w14:textId="712858E7" w:rsidR="00AA41AC" w:rsidRDefault="009120AB" w:rsidP="004D7C59">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Swianiewicz (2006)</w:t>
      </w:r>
      <w:r w:rsidR="004F304E" w:rsidRPr="009927E1">
        <w:rPr>
          <w:rFonts w:ascii="Times New Roman" w:hAnsi="Times New Roman" w:cs="Times New Roman"/>
          <w:color w:val="000000"/>
          <w:sz w:val="24"/>
          <w:szCs w:val="24"/>
          <w:lang w:val="en-GB"/>
        </w:rPr>
        <w:t xml:space="preserve">, and more recently Ilyniak (2024), offered </w:t>
      </w:r>
      <w:r w:rsidR="001123A6" w:rsidRPr="009927E1">
        <w:rPr>
          <w:rFonts w:ascii="Times New Roman" w:hAnsi="Times New Roman" w:cs="Times New Roman"/>
          <w:color w:val="000000"/>
          <w:sz w:val="24"/>
          <w:szCs w:val="24"/>
          <w:lang w:val="en-GB"/>
        </w:rPr>
        <w:t>new insights</w:t>
      </w:r>
      <w:r w:rsidR="004F304E" w:rsidRPr="009927E1">
        <w:rPr>
          <w:rFonts w:ascii="Times New Roman" w:hAnsi="Times New Roman" w:cs="Times New Roman"/>
          <w:color w:val="000000"/>
          <w:sz w:val="24"/>
          <w:szCs w:val="24"/>
          <w:lang w:val="en-GB"/>
        </w:rPr>
        <w:t xml:space="preserve"> </w:t>
      </w:r>
      <w:r w:rsidR="001123A6" w:rsidRPr="009927E1">
        <w:rPr>
          <w:rFonts w:ascii="Times New Roman" w:hAnsi="Times New Roman" w:cs="Times New Roman"/>
          <w:color w:val="000000"/>
          <w:sz w:val="24"/>
          <w:szCs w:val="24"/>
          <w:lang w:val="en-GB"/>
        </w:rPr>
        <w:t>on</w:t>
      </w:r>
      <w:r w:rsidR="004F304E" w:rsidRPr="009927E1">
        <w:rPr>
          <w:rFonts w:ascii="Times New Roman" w:hAnsi="Times New Roman" w:cs="Times New Roman"/>
          <w:color w:val="000000"/>
          <w:sz w:val="24"/>
          <w:szCs w:val="24"/>
          <w:lang w:val="en-GB"/>
        </w:rPr>
        <w:t xml:space="preserve"> countries in the region</w:t>
      </w:r>
      <w:r w:rsidR="00037D4F" w:rsidRPr="009927E1">
        <w:rPr>
          <w:rFonts w:ascii="Times New Roman" w:hAnsi="Times New Roman" w:cs="Times New Roman"/>
          <w:color w:val="000000"/>
          <w:sz w:val="24"/>
          <w:szCs w:val="24"/>
          <w:lang w:val="en-GB"/>
        </w:rPr>
        <w:t>:</w:t>
      </w:r>
      <w:r w:rsidR="004F304E" w:rsidRPr="009927E1">
        <w:rPr>
          <w:rFonts w:ascii="Times New Roman" w:hAnsi="Times New Roman" w:cs="Times New Roman"/>
          <w:color w:val="000000"/>
          <w:sz w:val="24"/>
          <w:szCs w:val="24"/>
          <w:lang w:val="en-GB"/>
        </w:rPr>
        <w:t xml:space="preserve"> </w:t>
      </w:r>
      <w:r w:rsidRPr="009927E1">
        <w:rPr>
          <w:rFonts w:ascii="Times New Roman" w:hAnsi="Times New Roman" w:cs="Times New Roman"/>
          <w:color w:val="000000"/>
          <w:sz w:val="24"/>
          <w:szCs w:val="24"/>
          <w:lang w:val="en-GB"/>
        </w:rPr>
        <w:t xml:space="preserve">Romania has smaller local authorities in terms of population and surface as Poland, but </w:t>
      </w:r>
      <w:r w:rsidR="009E6666" w:rsidRPr="009927E1">
        <w:rPr>
          <w:rFonts w:ascii="Times New Roman" w:hAnsi="Times New Roman" w:cs="Times New Roman"/>
          <w:color w:val="000000"/>
          <w:sz w:val="24"/>
          <w:szCs w:val="24"/>
          <w:lang w:val="en-GB"/>
        </w:rPr>
        <w:t>larger</w:t>
      </w:r>
      <w:r w:rsidRPr="009927E1">
        <w:rPr>
          <w:rFonts w:ascii="Times New Roman" w:hAnsi="Times New Roman" w:cs="Times New Roman"/>
          <w:color w:val="000000"/>
          <w:sz w:val="24"/>
          <w:szCs w:val="24"/>
          <w:lang w:val="en-GB"/>
        </w:rPr>
        <w:t xml:space="preserve"> </w:t>
      </w:r>
      <w:r w:rsidR="00037D4F" w:rsidRPr="009927E1">
        <w:rPr>
          <w:rFonts w:ascii="Times New Roman" w:hAnsi="Times New Roman" w:cs="Times New Roman"/>
          <w:color w:val="000000"/>
          <w:sz w:val="24"/>
          <w:szCs w:val="24"/>
          <w:lang w:val="en-GB"/>
        </w:rPr>
        <w:t>o</w:t>
      </w:r>
      <w:r w:rsidRPr="009927E1">
        <w:rPr>
          <w:rFonts w:ascii="Times New Roman" w:hAnsi="Times New Roman" w:cs="Times New Roman"/>
          <w:color w:val="000000"/>
          <w:sz w:val="24"/>
          <w:szCs w:val="24"/>
          <w:lang w:val="en-GB"/>
        </w:rPr>
        <w:t xml:space="preserve">n both </w:t>
      </w:r>
      <w:r w:rsidR="00037D4F" w:rsidRPr="009927E1">
        <w:rPr>
          <w:rFonts w:ascii="Times New Roman" w:hAnsi="Times New Roman" w:cs="Times New Roman"/>
          <w:color w:val="000000"/>
          <w:sz w:val="24"/>
          <w:szCs w:val="24"/>
          <w:lang w:val="en-GB"/>
        </w:rPr>
        <w:t>indicator</w:t>
      </w:r>
      <w:r w:rsidRPr="009927E1">
        <w:rPr>
          <w:rFonts w:ascii="Times New Roman" w:hAnsi="Times New Roman" w:cs="Times New Roman"/>
          <w:color w:val="000000"/>
          <w:sz w:val="24"/>
          <w:szCs w:val="24"/>
          <w:lang w:val="en-GB"/>
        </w:rPr>
        <w:t>s as Ukraine</w:t>
      </w:r>
      <w:r w:rsidR="00037D4F" w:rsidRPr="009927E1">
        <w:rPr>
          <w:rFonts w:ascii="Times New Roman" w:hAnsi="Times New Roman" w:cs="Times New Roman"/>
          <w:color w:val="000000"/>
          <w:sz w:val="24"/>
          <w:szCs w:val="24"/>
          <w:lang w:val="en-GB"/>
        </w:rPr>
        <w:t>; recently, the latest</w:t>
      </w:r>
      <w:r w:rsidR="004F304E" w:rsidRPr="009927E1">
        <w:rPr>
          <w:rFonts w:ascii="Times New Roman" w:hAnsi="Times New Roman" w:cs="Times New Roman"/>
          <w:color w:val="000000"/>
          <w:sz w:val="24"/>
          <w:szCs w:val="24"/>
          <w:lang w:val="en-GB"/>
        </w:rPr>
        <w:t xml:space="preserve"> made a consolidation reform</w:t>
      </w:r>
      <w:r w:rsidR="00037D4F" w:rsidRPr="009927E1">
        <w:rPr>
          <w:rFonts w:ascii="Times New Roman" w:hAnsi="Times New Roman" w:cs="Times New Roman"/>
          <w:color w:val="000000"/>
          <w:sz w:val="24"/>
          <w:szCs w:val="24"/>
          <w:lang w:val="en-GB"/>
        </w:rPr>
        <w:t xml:space="preserve"> that changed the situation</w:t>
      </w:r>
      <w:r w:rsidR="004F304E" w:rsidRPr="009927E1">
        <w:rPr>
          <w:rFonts w:ascii="Times New Roman" w:hAnsi="Times New Roman" w:cs="Times New Roman"/>
          <w:color w:val="000000"/>
          <w:sz w:val="24"/>
          <w:szCs w:val="24"/>
          <w:lang w:val="en-GB"/>
        </w:rPr>
        <w:t xml:space="preserve">: between 2014-2019, approximatively 12,000 villages were reformed in 1,469 new amalgamated territorial communities (ATCs), in two steps (first, a voluntary association with incentive, in the second period a forced one, determined </w:t>
      </w:r>
      <w:r w:rsidR="00037D4F" w:rsidRPr="009927E1">
        <w:rPr>
          <w:rFonts w:ascii="Times New Roman" w:hAnsi="Times New Roman" w:cs="Times New Roman"/>
          <w:color w:val="000000"/>
          <w:sz w:val="24"/>
          <w:szCs w:val="24"/>
          <w:lang w:val="en-GB"/>
        </w:rPr>
        <w:t xml:space="preserve">by </w:t>
      </w:r>
      <w:r w:rsidR="004F304E" w:rsidRPr="009927E1">
        <w:rPr>
          <w:rFonts w:ascii="Times New Roman" w:hAnsi="Times New Roman" w:cs="Times New Roman"/>
          <w:color w:val="000000"/>
          <w:sz w:val="24"/>
          <w:szCs w:val="24"/>
          <w:lang w:val="en-GB"/>
        </w:rPr>
        <w:t xml:space="preserve">a </w:t>
      </w:r>
      <w:r w:rsidR="00037D4F" w:rsidRPr="009927E1">
        <w:rPr>
          <w:rFonts w:ascii="Times New Roman" w:hAnsi="Times New Roman" w:cs="Times New Roman"/>
          <w:color w:val="000000"/>
          <w:sz w:val="24"/>
          <w:szCs w:val="24"/>
          <w:lang w:val="en-GB"/>
        </w:rPr>
        <w:t>reduction</w:t>
      </w:r>
      <w:r w:rsidR="004F304E" w:rsidRPr="009927E1">
        <w:rPr>
          <w:rFonts w:ascii="Times New Roman" w:hAnsi="Times New Roman" w:cs="Times New Roman"/>
          <w:color w:val="000000"/>
          <w:sz w:val="24"/>
          <w:szCs w:val="24"/>
          <w:lang w:val="en-GB"/>
        </w:rPr>
        <w:t xml:space="preserve"> of 25% of their income tax revenues)</w:t>
      </w:r>
      <w:r w:rsidR="001123A6" w:rsidRPr="009927E1">
        <w:rPr>
          <w:rFonts w:ascii="Times New Roman" w:hAnsi="Times New Roman" w:cs="Times New Roman"/>
          <w:color w:val="000000"/>
          <w:sz w:val="24"/>
          <w:szCs w:val="24"/>
          <w:lang w:val="en-GB"/>
        </w:rPr>
        <w:t xml:space="preserve">, but it is </w:t>
      </w:r>
      <w:r w:rsidR="00887CEA" w:rsidRPr="009927E1">
        <w:rPr>
          <w:rFonts w:ascii="Times New Roman" w:hAnsi="Times New Roman" w:cs="Times New Roman"/>
          <w:color w:val="000000"/>
          <w:sz w:val="24"/>
          <w:szCs w:val="24"/>
          <w:lang w:val="en-GB"/>
        </w:rPr>
        <w:t>too</w:t>
      </w:r>
      <w:r w:rsidR="001123A6" w:rsidRPr="009927E1">
        <w:rPr>
          <w:rFonts w:ascii="Times New Roman" w:hAnsi="Times New Roman" w:cs="Times New Roman"/>
          <w:color w:val="000000"/>
          <w:sz w:val="24"/>
          <w:szCs w:val="24"/>
          <w:lang w:val="en-GB"/>
        </w:rPr>
        <w:t xml:space="preserve"> early to </w:t>
      </w:r>
      <w:r w:rsidR="001608E1" w:rsidRPr="009927E1">
        <w:rPr>
          <w:rFonts w:ascii="Times New Roman" w:hAnsi="Times New Roman" w:cs="Times New Roman"/>
          <w:color w:val="000000"/>
          <w:sz w:val="24"/>
          <w:szCs w:val="24"/>
          <w:lang w:val="en-GB"/>
        </w:rPr>
        <w:t>conclude about</w:t>
      </w:r>
      <w:r w:rsidR="001123A6" w:rsidRPr="009927E1">
        <w:rPr>
          <w:rFonts w:ascii="Times New Roman" w:hAnsi="Times New Roman" w:cs="Times New Roman"/>
          <w:color w:val="000000"/>
          <w:sz w:val="24"/>
          <w:szCs w:val="24"/>
          <w:lang w:val="en-GB"/>
        </w:rPr>
        <w:t xml:space="preserve"> positive/negative impact of </w:t>
      </w:r>
      <w:r w:rsidR="007B2DC3">
        <w:rPr>
          <w:rFonts w:ascii="Times New Roman" w:hAnsi="Times New Roman" w:cs="Times New Roman"/>
          <w:color w:val="000000"/>
          <w:sz w:val="24"/>
          <w:szCs w:val="24"/>
          <w:lang w:val="en-GB"/>
        </w:rPr>
        <w:t xml:space="preserve">the </w:t>
      </w:r>
      <w:r w:rsidR="001123A6" w:rsidRPr="009927E1">
        <w:rPr>
          <w:rFonts w:ascii="Times New Roman" w:hAnsi="Times New Roman" w:cs="Times New Roman"/>
          <w:color w:val="000000"/>
          <w:sz w:val="24"/>
          <w:szCs w:val="24"/>
          <w:lang w:val="en-GB"/>
        </w:rPr>
        <w:t>consolidation from Ukraine.</w:t>
      </w:r>
    </w:p>
    <w:p w14:paraId="4BA05DD8" w14:textId="52827140" w:rsidR="00887CEA" w:rsidRPr="009927E1" w:rsidRDefault="00887CEA" w:rsidP="00887CEA">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As the data in </w:t>
      </w:r>
      <w:r w:rsidRPr="009927E1">
        <w:rPr>
          <w:rFonts w:ascii="Times New Roman" w:hAnsi="Times New Roman" w:cs="Times New Roman"/>
          <w:i/>
          <w:iCs/>
          <w:color w:val="000000"/>
          <w:sz w:val="24"/>
          <w:szCs w:val="24"/>
          <w:lang w:val="en-GB"/>
        </w:rPr>
        <w:t xml:space="preserve">Table </w:t>
      </w:r>
      <w:r>
        <w:rPr>
          <w:rFonts w:ascii="Times New Roman" w:hAnsi="Times New Roman" w:cs="Times New Roman"/>
          <w:i/>
          <w:iCs/>
          <w:color w:val="000000"/>
          <w:sz w:val="24"/>
          <w:szCs w:val="24"/>
          <w:lang w:val="en-GB"/>
        </w:rPr>
        <w:t>2</w:t>
      </w:r>
      <w:r w:rsidRPr="009927E1">
        <w:rPr>
          <w:rFonts w:ascii="Times New Roman" w:hAnsi="Times New Roman" w:cs="Times New Roman"/>
          <w:i/>
          <w:iCs/>
          <w:color w:val="000000"/>
          <w:sz w:val="24"/>
          <w:szCs w:val="24"/>
          <w:lang w:val="en-GB"/>
        </w:rPr>
        <w:t xml:space="preserve"> </w:t>
      </w:r>
      <w:r w:rsidR="00682B07">
        <w:rPr>
          <w:rFonts w:ascii="Times New Roman" w:hAnsi="Times New Roman" w:cs="Times New Roman"/>
          <w:color w:val="000000"/>
          <w:sz w:val="24"/>
          <w:szCs w:val="24"/>
          <w:lang w:val="en-GB"/>
        </w:rPr>
        <w:t>show</w:t>
      </w:r>
      <w:r w:rsidRPr="009927E1">
        <w:rPr>
          <w:rFonts w:ascii="Times New Roman" w:hAnsi="Times New Roman" w:cs="Times New Roman"/>
          <w:color w:val="000000"/>
          <w:sz w:val="24"/>
          <w:szCs w:val="24"/>
          <w:lang w:val="en-GB"/>
        </w:rPr>
        <w:t>, Romania has a significative number of municipalities under 3,000 inhabitants</w:t>
      </w:r>
      <w:r>
        <w:rPr>
          <w:rFonts w:ascii="Times New Roman" w:hAnsi="Times New Roman" w:cs="Times New Roman"/>
          <w:color w:val="000000"/>
          <w:sz w:val="24"/>
          <w:szCs w:val="24"/>
          <w:lang w:val="en-GB"/>
        </w:rPr>
        <w:t>: these</w:t>
      </w:r>
      <w:r w:rsidRPr="009927E1">
        <w:rPr>
          <w:rFonts w:ascii="Times New Roman" w:hAnsi="Times New Roman" w:cs="Times New Roman"/>
          <w:color w:val="000000"/>
          <w:sz w:val="24"/>
          <w:szCs w:val="24"/>
          <w:lang w:val="en-GB"/>
        </w:rPr>
        <w:t xml:space="preserve"> count 1,661 municipalities (1,653 communes and 8 towns), half of the total number of local authorities, with a total number of populations of 3,136,761 inhabitants, almost one six of </w:t>
      </w:r>
      <w:r w:rsidR="00460F3A">
        <w:rPr>
          <w:rFonts w:ascii="Times New Roman" w:hAnsi="Times New Roman" w:cs="Times New Roman"/>
          <w:color w:val="000000"/>
          <w:sz w:val="24"/>
          <w:szCs w:val="24"/>
          <w:lang w:val="en-GB"/>
        </w:rPr>
        <w:t xml:space="preserve">the </w:t>
      </w:r>
      <w:r w:rsidRPr="009927E1">
        <w:rPr>
          <w:rFonts w:ascii="Times New Roman" w:hAnsi="Times New Roman" w:cs="Times New Roman"/>
          <w:color w:val="000000"/>
          <w:sz w:val="24"/>
          <w:szCs w:val="24"/>
          <w:lang w:val="en-GB"/>
        </w:rPr>
        <w:t xml:space="preserve">Romanian population; number of municipalities with less than 5,000 inhabitants is 2,501 (2,463 communes and 38 towns), almost 80% of the total number of local authorities, </w:t>
      </w:r>
      <w:r w:rsidR="00E02B1B">
        <w:rPr>
          <w:rFonts w:ascii="Times New Roman" w:hAnsi="Times New Roman" w:cs="Times New Roman"/>
          <w:color w:val="000000"/>
          <w:sz w:val="24"/>
          <w:szCs w:val="24"/>
          <w:lang w:val="en-GB"/>
        </w:rPr>
        <w:t>covering</w:t>
      </w:r>
      <w:r w:rsidRPr="009927E1">
        <w:rPr>
          <w:rFonts w:ascii="Times New Roman" w:hAnsi="Times New Roman" w:cs="Times New Roman"/>
          <w:color w:val="000000"/>
          <w:sz w:val="24"/>
          <w:szCs w:val="24"/>
          <w:lang w:val="en-GB"/>
        </w:rPr>
        <w:t xml:space="preserve"> one third of </w:t>
      </w:r>
      <w:r w:rsidR="00460F3A">
        <w:rPr>
          <w:rFonts w:ascii="Times New Roman" w:hAnsi="Times New Roman" w:cs="Times New Roman"/>
          <w:color w:val="000000"/>
          <w:sz w:val="24"/>
          <w:szCs w:val="24"/>
          <w:lang w:val="en-GB"/>
        </w:rPr>
        <w:t xml:space="preserve">the </w:t>
      </w:r>
      <w:r w:rsidRPr="009927E1">
        <w:rPr>
          <w:rFonts w:ascii="Times New Roman" w:hAnsi="Times New Roman" w:cs="Times New Roman"/>
          <w:color w:val="000000"/>
          <w:sz w:val="24"/>
          <w:szCs w:val="24"/>
          <w:lang w:val="en-GB"/>
        </w:rPr>
        <w:t xml:space="preserve">Romanian population. The average population of these </w:t>
      </w:r>
      <w:r w:rsidRPr="009927E1">
        <w:rPr>
          <w:rFonts w:ascii="Times New Roman" w:hAnsi="Times New Roman" w:cs="Times New Roman"/>
          <w:color w:val="000000"/>
          <w:sz w:val="24"/>
          <w:szCs w:val="24"/>
          <w:lang w:val="en-GB"/>
        </w:rPr>
        <w:lastRenderedPageBreak/>
        <w:t xml:space="preserve">municipalities is 2,500 inhabitants, less than half of the next </w:t>
      </w:r>
      <w:r w:rsidR="00993BCC">
        <w:rPr>
          <w:rFonts w:ascii="Times New Roman" w:hAnsi="Times New Roman" w:cs="Times New Roman"/>
          <w:color w:val="000000"/>
          <w:sz w:val="24"/>
          <w:szCs w:val="24"/>
          <w:lang w:val="en-GB"/>
        </w:rPr>
        <w:t>population range</w:t>
      </w:r>
      <w:r w:rsidRPr="009927E1">
        <w:rPr>
          <w:rFonts w:ascii="Times New Roman" w:hAnsi="Times New Roman" w:cs="Times New Roman"/>
          <w:color w:val="000000"/>
          <w:sz w:val="24"/>
          <w:szCs w:val="24"/>
          <w:lang w:val="en-GB"/>
        </w:rPr>
        <w:t xml:space="preserve"> category of local authorities.</w:t>
      </w:r>
    </w:p>
    <w:p w14:paraId="773EAF64" w14:textId="40232303" w:rsidR="00E44425" w:rsidRPr="009927E1" w:rsidRDefault="00B32E46" w:rsidP="00DF707F">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i/>
          <w:iCs/>
          <w:color w:val="000000"/>
          <w:sz w:val="24"/>
          <w:szCs w:val="24"/>
          <w:lang w:val="en-GB"/>
        </w:rPr>
        <w:t>Figure 2</w:t>
      </w:r>
      <w:r w:rsidRPr="009927E1">
        <w:rPr>
          <w:rFonts w:ascii="Times New Roman" w:hAnsi="Times New Roman" w:cs="Times New Roman"/>
          <w:color w:val="000000"/>
          <w:sz w:val="24"/>
          <w:szCs w:val="24"/>
          <w:lang w:val="en-GB"/>
        </w:rPr>
        <w:t xml:space="preserve">. Revenues and expenditures of municipalities, on </w:t>
      </w:r>
      <w:r w:rsidR="001A6306">
        <w:rPr>
          <w:rFonts w:ascii="Times New Roman" w:hAnsi="Times New Roman" w:cs="Times New Roman"/>
          <w:color w:val="000000"/>
          <w:sz w:val="24"/>
          <w:szCs w:val="24"/>
          <w:lang w:val="en-GB"/>
        </w:rPr>
        <w:t>population range</w:t>
      </w:r>
      <w:r w:rsidR="006F6310" w:rsidRPr="009927E1">
        <w:rPr>
          <w:rFonts w:ascii="Times New Roman" w:hAnsi="Times New Roman" w:cs="Times New Roman"/>
          <w:color w:val="000000"/>
          <w:sz w:val="24"/>
          <w:szCs w:val="24"/>
          <w:lang w:val="en-GB"/>
        </w:rPr>
        <w:t xml:space="preserve"> </w:t>
      </w:r>
      <w:r w:rsidRPr="009927E1">
        <w:rPr>
          <w:rFonts w:ascii="Times New Roman" w:hAnsi="Times New Roman" w:cs="Times New Roman"/>
          <w:color w:val="000000"/>
          <w:sz w:val="24"/>
          <w:szCs w:val="24"/>
          <w:lang w:val="en-GB"/>
        </w:rPr>
        <w:t>categories</w:t>
      </w:r>
    </w:p>
    <w:p w14:paraId="5AA97050" w14:textId="209CB8D2" w:rsidR="0001377E" w:rsidRPr="009927E1" w:rsidRDefault="00E44425" w:rsidP="00B32E46">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GB"/>
        </w:rPr>
      </w:pPr>
      <w:r w:rsidRPr="009927E1">
        <w:rPr>
          <w:noProof/>
          <w:lang w:val="en-GB"/>
        </w:rPr>
        <w:drawing>
          <wp:inline distT="0" distB="0" distL="0" distR="0" wp14:anchorId="376B0663" wp14:editId="03F563CD">
            <wp:extent cx="5813839" cy="2985770"/>
            <wp:effectExtent l="0" t="0" r="15875" b="5080"/>
            <wp:docPr id="1190012134" name="Diagramă 1">
              <a:extLst xmlns:a="http://schemas.openxmlformats.org/drawingml/2006/main">
                <a:ext uri="{FF2B5EF4-FFF2-40B4-BE49-F238E27FC236}">
                  <a16:creationId xmlns:a16="http://schemas.microsoft.com/office/drawing/2014/main" id="{9D2881E7-9F3A-7118-8CD0-D0E24F532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834429" w14:textId="367AF7D6" w:rsidR="00E44425" w:rsidRPr="009927E1" w:rsidRDefault="00B32E46" w:rsidP="00DF707F">
      <w:pPr>
        <w:suppressAutoHyphens/>
        <w:autoSpaceDE w:val="0"/>
        <w:autoSpaceDN w:val="0"/>
        <w:adjustRightInd w:val="0"/>
        <w:spacing w:after="0" w:line="360" w:lineRule="auto"/>
        <w:jc w:val="both"/>
        <w:textAlignment w:val="center"/>
        <w:rPr>
          <w:rFonts w:ascii="Times New Roman" w:hAnsi="Times New Roman" w:cs="Times New Roman"/>
          <w:color w:val="000000"/>
          <w:lang w:val="en-GB"/>
        </w:rPr>
      </w:pPr>
      <w:r w:rsidRPr="009927E1">
        <w:rPr>
          <w:rFonts w:ascii="Times New Roman" w:hAnsi="Times New Roman" w:cs="Times New Roman"/>
          <w:i/>
          <w:iCs/>
          <w:color w:val="000000"/>
          <w:lang w:val="en-GB"/>
        </w:rPr>
        <w:t>Source</w:t>
      </w:r>
      <w:r w:rsidRPr="009927E1">
        <w:rPr>
          <w:rFonts w:ascii="Times New Roman" w:hAnsi="Times New Roman" w:cs="Times New Roman"/>
          <w:color w:val="000000"/>
          <w:lang w:val="en-GB"/>
        </w:rPr>
        <w:t>: Population Census 2021 (Tab1.22_RPL2021).</w:t>
      </w:r>
    </w:p>
    <w:p w14:paraId="6D69157D" w14:textId="62245AD8" w:rsidR="00E44425" w:rsidRPr="009927E1" w:rsidRDefault="006A34CD" w:rsidP="000927DE">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If we consider only the </w:t>
      </w:r>
      <w:r w:rsidR="00CF1A01" w:rsidRPr="009927E1">
        <w:rPr>
          <w:rFonts w:ascii="Times New Roman" w:hAnsi="Times New Roman" w:cs="Times New Roman"/>
          <w:color w:val="000000"/>
          <w:sz w:val="24"/>
          <w:szCs w:val="24"/>
          <w:lang w:val="en-GB"/>
        </w:rPr>
        <w:t>number,</w:t>
      </w:r>
      <w:r w:rsidRPr="009927E1">
        <w:rPr>
          <w:rFonts w:ascii="Times New Roman" w:hAnsi="Times New Roman" w:cs="Times New Roman"/>
          <w:color w:val="000000"/>
          <w:sz w:val="24"/>
          <w:szCs w:val="24"/>
          <w:lang w:val="en-GB"/>
        </w:rPr>
        <w:t xml:space="preserve"> the conclusion is that there are too many</w:t>
      </w:r>
      <w:r w:rsidR="00BE7D96">
        <w:rPr>
          <w:rFonts w:ascii="Times New Roman" w:hAnsi="Times New Roman" w:cs="Times New Roman"/>
          <w:color w:val="000000"/>
          <w:sz w:val="24"/>
          <w:szCs w:val="24"/>
          <w:lang w:val="en-GB"/>
        </w:rPr>
        <w:t xml:space="preserve"> municipalities</w:t>
      </w:r>
      <w:r w:rsidRPr="009927E1">
        <w:rPr>
          <w:rFonts w:ascii="Times New Roman" w:hAnsi="Times New Roman" w:cs="Times New Roman"/>
          <w:color w:val="000000"/>
          <w:sz w:val="24"/>
          <w:szCs w:val="24"/>
          <w:lang w:val="en-GB"/>
        </w:rPr>
        <w:t xml:space="preserve">, with too little </w:t>
      </w:r>
      <w:r w:rsidR="000C5D8E" w:rsidRPr="009927E1">
        <w:rPr>
          <w:rFonts w:ascii="Times New Roman" w:hAnsi="Times New Roman" w:cs="Times New Roman"/>
          <w:color w:val="000000"/>
          <w:sz w:val="24"/>
          <w:szCs w:val="24"/>
          <w:lang w:val="en-GB"/>
        </w:rPr>
        <w:t>inhabitants</w:t>
      </w:r>
      <w:r w:rsidR="00544A6A">
        <w:rPr>
          <w:rFonts w:ascii="Times New Roman" w:hAnsi="Times New Roman" w:cs="Times New Roman"/>
          <w:color w:val="000000"/>
          <w:sz w:val="24"/>
          <w:szCs w:val="24"/>
          <w:lang w:val="en-GB"/>
        </w:rPr>
        <w:t>, especially in rural areas</w:t>
      </w:r>
      <w:r w:rsidR="00CF1A01" w:rsidRPr="009927E1">
        <w:rPr>
          <w:rFonts w:ascii="Times New Roman" w:hAnsi="Times New Roman" w:cs="Times New Roman"/>
          <w:color w:val="000000"/>
          <w:sz w:val="24"/>
          <w:szCs w:val="24"/>
          <w:lang w:val="en-GB"/>
        </w:rPr>
        <w:t xml:space="preserve">; but when we look to </w:t>
      </w:r>
      <w:r w:rsidR="00911427" w:rsidRPr="009927E1">
        <w:rPr>
          <w:rFonts w:ascii="Times New Roman" w:hAnsi="Times New Roman" w:cs="Times New Roman"/>
          <w:color w:val="000000"/>
          <w:sz w:val="24"/>
          <w:szCs w:val="24"/>
          <w:lang w:val="en-GB"/>
        </w:rPr>
        <w:t xml:space="preserve">their </w:t>
      </w:r>
      <w:r w:rsidR="00CF1A01" w:rsidRPr="009927E1">
        <w:rPr>
          <w:rFonts w:ascii="Times New Roman" w:hAnsi="Times New Roman" w:cs="Times New Roman"/>
          <w:color w:val="000000"/>
          <w:sz w:val="24"/>
          <w:szCs w:val="24"/>
          <w:lang w:val="en-GB"/>
        </w:rPr>
        <w:t xml:space="preserve">own </w:t>
      </w:r>
      <w:r w:rsidR="00BE7D96">
        <w:rPr>
          <w:rFonts w:ascii="Times New Roman" w:hAnsi="Times New Roman" w:cs="Times New Roman"/>
          <w:color w:val="000000"/>
          <w:sz w:val="24"/>
          <w:szCs w:val="24"/>
          <w:lang w:val="en-GB"/>
        </w:rPr>
        <w:t xml:space="preserve">taxes </w:t>
      </w:r>
      <w:r w:rsidR="00CF1A01" w:rsidRPr="009927E1">
        <w:rPr>
          <w:rFonts w:ascii="Times New Roman" w:hAnsi="Times New Roman" w:cs="Times New Roman"/>
          <w:color w:val="000000"/>
          <w:sz w:val="24"/>
          <w:szCs w:val="24"/>
          <w:lang w:val="en-GB"/>
        </w:rPr>
        <w:t>revenues, we see that these small municipalities</w:t>
      </w:r>
      <w:r w:rsidR="00911427" w:rsidRPr="009927E1">
        <w:rPr>
          <w:rFonts w:ascii="Times New Roman" w:hAnsi="Times New Roman" w:cs="Times New Roman"/>
          <w:color w:val="000000"/>
          <w:sz w:val="24"/>
          <w:szCs w:val="24"/>
          <w:lang w:val="en-GB"/>
        </w:rPr>
        <w:t xml:space="preserve">, especially those under 1,500 inhabitants, </w:t>
      </w:r>
      <w:r w:rsidR="00A71731">
        <w:rPr>
          <w:rFonts w:ascii="Times New Roman" w:hAnsi="Times New Roman" w:cs="Times New Roman"/>
          <w:color w:val="000000"/>
          <w:sz w:val="24"/>
          <w:szCs w:val="24"/>
          <w:lang w:val="en-GB"/>
        </w:rPr>
        <w:t>have this indicator per inhabitant</w:t>
      </w:r>
      <w:r w:rsidR="00A71731" w:rsidRPr="009927E1">
        <w:rPr>
          <w:rFonts w:ascii="Times New Roman" w:hAnsi="Times New Roman" w:cs="Times New Roman"/>
          <w:color w:val="000000"/>
          <w:sz w:val="24"/>
          <w:szCs w:val="24"/>
          <w:lang w:val="en-GB"/>
        </w:rPr>
        <w:t xml:space="preserve"> </w:t>
      </w:r>
      <w:r w:rsidR="00911427" w:rsidRPr="009927E1">
        <w:rPr>
          <w:rFonts w:ascii="Times New Roman" w:hAnsi="Times New Roman" w:cs="Times New Roman"/>
          <w:color w:val="000000"/>
          <w:sz w:val="24"/>
          <w:szCs w:val="24"/>
          <w:lang w:val="en-GB"/>
        </w:rPr>
        <w:t xml:space="preserve">with an average similar with cities over 100,000 inhabitants. And, in the case of the shared revenues from the Personal Income Tax, this small municipalities perform </w:t>
      </w:r>
      <w:r w:rsidR="00BE7D96">
        <w:rPr>
          <w:rFonts w:ascii="Times New Roman" w:hAnsi="Times New Roman" w:cs="Times New Roman"/>
          <w:color w:val="000000"/>
          <w:sz w:val="24"/>
          <w:szCs w:val="24"/>
          <w:lang w:val="en-GB"/>
        </w:rPr>
        <w:t>better than</w:t>
      </w:r>
      <w:r w:rsidR="00911427" w:rsidRPr="009927E1">
        <w:rPr>
          <w:rFonts w:ascii="Times New Roman" w:hAnsi="Times New Roman" w:cs="Times New Roman"/>
          <w:color w:val="000000"/>
          <w:sz w:val="24"/>
          <w:szCs w:val="24"/>
          <w:lang w:val="en-GB"/>
        </w:rPr>
        <w:t xml:space="preserve"> the category of municipalities of </w:t>
      </w:r>
      <w:r w:rsidR="00BE7D96">
        <w:rPr>
          <w:rFonts w:ascii="Times New Roman" w:hAnsi="Times New Roman" w:cs="Times New Roman"/>
          <w:color w:val="000000"/>
          <w:sz w:val="24"/>
          <w:szCs w:val="24"/>
          <w:lang w:val="en-GB"/>
        </w:rPr>
        <w:t>1</w:t>
      </w:r>
      <w:r w:rsidR="00911427" w:rsidRPr="009927E1">
        <w:rPr>
          <w:rFonts w:ascii="Times New Roman" w:hAnsi="Times New Roman" w:cs="Times New Roman"/>
          <w:color w:val="000000"/>
          <w:sz w:val="24"/>
          <w:szCs w:val="24"/>
          <w:lang w:val="en-GB"/>
        </w:rPr>
        <w:t>,</w:t>
      </w:r>
      <w:r w:rsidR="00BE7D96">
        <w:rPr>
          <w:rFonts w:ascii="Times New Roman" w:hAnsi="Times New Roman" w:cs="Times New Roman"/>
          <w:color w:val="000000"/>
          <w:sz w:val="24"/>
          <w:szCs w:val="24"/>
          <w:lang w:val="en-GB"/>
        </w:rPr>
        <w:t>5</w:t>
      </w:r>
      <w:r w:rsidR="00911427" w:rsidRPr="009927E1">
        <w:rPr>
          <w:rFonts w:ascii="Times New Roman" w:hAnsi="Times New Roman" w:cs="Times New Roman"/>
          <w:color w:val="000000"/>
          <w:sz w:val="24"/>
          <w:szCs w:val="24"/>
          <w:lang w:val="en-GB"/>
        </w:rPr>
        <w:t>00-</w:t>
      </w:r>
      <w:r w:rsidR="00BE7D96">
        <w:rPr>
          <w:rFonts w:ascii="Times New Roman" w:hAnsi="Times New Roman" w:cs="Times New Roman"/>
          <w:color w:val="000000"/>
          <w:sz w:val="24"/>
          <w:szCs w:val="24"/>
          <w:lang w:val="en-GB"/>
        </w:rPr>
        <w:t>5</w:t>
      </w:r>
      <w:r w:rsidR="00911427" w:rsidRPr="009927E1">
        <w:rPr>
          <w:rFonts w:ascii="Times New Roman" w:hAnsi="Times New Roman" w:cs="Times New Roman"/>
          <w:color w:val="000000"/>
          <w:sz w:val="24"/>
          <w:szCs w:val="24"/>
          <w:lang w:val="en-GB"/>
        </w:rPr>
        <w:t xml:space="preserve">,000 inhabitants. At this specific source of revenues, we can see the main difference between Romanian municipalities: cities over 100,000 inhabitants perform five times better than </w:t>
      </w:r>
      <w:r w:rsidR="00544A6A">
        <w:rPr>
          <w:rFonts w:ascii="Times New Roman" w:hAnsi="Times New Roman" w:cs="Times New Roman"/>
          <w:color w:val="000000"/>
          <w:sz w:val="24"/>
          <w:szCs w:val="24"/>
          <w:lang w:val="en-GB"/>
        </w:rPr>
        <w:t xml:space="preserve">the </w:t>
      </w:r>
      <w:r w:rsidR="00911427" w:rsidRPr="009927E1">
        <w:rPr>
          <w:rFonts w:ascii="Times New Roman" w:hAnsi="Times New Roman" w:cs="Times New Roman"/>
          <w:color w:val="000000"/>
          <w:sz w:val="24"/>
          <w:szCs w:val="24"/>
          <w:lang w:val="en-GB"/>
        </w:rPr>
        <w:t>municipalities</w:t>
      </w:r>
      <w:r w:rsidR="00544A6A">
        <w:rPr>
          <w:rFonts w:ascii="Times New Roman" w:hAnsi="Times New Roman" w:cs="Times New Roman"/>
          <w:color w:val="000000"/>
          <w:sz w:val="24"/>
          <w:szCs w:val="24"/>
          <w:lang w:val="en-GB"/>
        </w:rPr>
        <w:t xml:space="preserve"> under 1,500 inhabitants</w:t>
      </w:r>
      <w:r w:rsidR="00911427" w:rsidRPr="009927E1">
        <w:rPr>
          <w:rFonts w:ascii="Times New Roman" w:hAnsi="Times New Roman" w:cs="Times New Roman"/>
          <w:color w:val="000000"/>
          <w:sz w:val="24"/>
          <w:szCs w:val="24"/>
          <w:lang w:val="en-GB"/>
        </w:rPr>
        <w:t xml:space="preserve"> that shows the gap of economic development and offers an explanation regarding the extreme polarization among urban and</w:t>
      </w:r>
      <w:r w:rsidR="00AD6EDE">
        <w:rPr>
          <w:rFonts w:ascii="Times New Roman" w:hAnsi="Times New Roman" w:cs="Times New Roman"/>
          <w:color w:val="000000"/>
          <w:sz w:val="24"/>
          <w:szCs w:val="24"/>
          <w:lang w:val="en-GB"/>
        </w:rPr>
        <w:t xml:space="preserve"> rural areas</w:t>
      </w:r>
      <w:r w:rsidR="00911427" w:rsidRPr="009927E1">
        <w:rPr>
          <w:rFonts w:ascii="Times New Roman" w:hAnsi="Times New Roman" w:cs="Times New Roman"/>
          <w:color w:val="000000"/>
          <w:sz w:val="24"/>
          <w:szCs w:val="24"/>
          <w:lang w:val="en-GB"/>
        </w:rPr>
        <w:t>.</w:t>
      </w:r>
    </w:p>
    <w:p w14:paraId="53188909" w14:textId="73B82B60" w:rsidR="006A34CD" w:rsidRPr="009927E1" w:rsidRDefault="00DF534D" w:rsidP="0024599F">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The </w:t>
      </w:r>
      <w:r w:rsidRPr="009927E1">
        <w:rPr>
          <w:rFonts w:ascii="Times New Roman" w:hAnsi="Times New Roman" w:cs="Times New Roman"/>
          <w:i/>
          <w:iCs/>
          <w:color w:val="000000"/>
          <w:sz w:val="24"/>
          <w:szCs w:val="24"/>
          <w:lang w:val="en-GB"/>
        </w:rPr>
        <w:t>Figure 2</w:t>
      </w:r>
      <w:r w:rsidRPr="009927E1">
        <w:rPr>
          <w:rFonts w:ascii="Times New Roman" w:hAnsi="Times New Roman" w:cs="Times New Roman"/>
          <w:color w:val="000000"/>
          <w:sz w:val="24"/>
          <w:szCs w:val="24"/>
          <w:lang w:val="en-GB"/>
        </w:rPr>
        <w:t xml:space="preserve"> also shows an obvious reality: in the case of small municipalities, the cost of the public administration is high, </w:t>
      </w:r>
      <w:r w:rsidR="0024599F" w:rsidRPr="009927E1">
        <w:rPr>
          <w:rFonts w:ascii="Times New Roman" w:hAnsi="Times New Roman" w:cs="Times New Roman"/>
          <w:color w:val="000000"/>
          <w:sz w:val="24"/>
          <w:szCs w:val="24"/>
          <w:lang w:val="en-GB"/>
        </w:rPr>
        <w:t>like</w:t>
      </w:r>
      <w:r w:rsidRPr="009927E1">
        <w:rPr>
          <w:rFonts w:ascii="Times New Roman" w:hAnsi="Times New Roman" w:cs="Times New Roman"/>
          <w:color w:val="000000"/>
          <w:sz w:val="24"/>
          <w:szCs w:val="24"/>
          <w:lang w:val="en-GB"/>
        </w:rPr>
        <w:t xml:space="preserve"> those of cities, </w:t>
      </w:r>
      <w:r w:rsidR="00781A4E">
        <w:rPr>
          <w:rFonts w:ascii="Times New Roman" w:hAnsi="Times New Roman" w:cs="Times New Roman"/>
          <w:color w:val="000000"/>
          <w:sz w:val="24"/>
          <w:szCs w:val="24"/>
          <w:lang w:val="en-GB"/>
        </w:rPr>
        <w:t>but they provide, at least according with legal provisions,</w:t>
      </w:r>
      <w:r w:rsidR="0024599F" w:rsidRPr="009927E1">
        <w:rPr>
          <w:rFonts w:ascii="Times New Roman" w:hAnsi="Times New Roman" w:cs="Times New Roman"/>
          <w:color w:val="000000"/>
          <w:sz w:val="24"/>
          <w:szCs w:val="24"/>
          <w:lang w:val="en-GB"/>
        </w:rPr>
        <w:t xml:space="preserve"> </w:t>
      </w:r>
      <w:r w:rsidRPr="009927E1">
        <w:rPr>
          <w:rFonts w:ascii="Times New Roman" w:hAnsi="Times New Roman" w:cs="Times New Roman"/>
          <w:color w:val="000000"/>
          <w:sz w:val="24"/>
          <w:szCs w:val="24"/>
          <w:lang w:val="en-GB"/>
        </w:rPr>
        <w:t xml:space="preserve">similar services </w:t>
      </w:r>
      <w:r w:rsidR="00781A4E">
        <w:rPr>
          <w:rFonts w:ascii="Times New Roman" w:hAnsi="Times New Roman" w:cs="Times New Roman"/>
          <w:color w:val="000000"/>
          <w:sz w:val="24"/>
          <w:szCs w:val="24"/>
          <w:lang w:val="en-GB"/>
        </w:rPr>
        <w:t>for the population</w:t>
      </w:r>
      <w:r w:rsidRPr="009927E1">
        <w:rPr>
          <w:rFonts w:ascii="Times New Roman" w:hAnsi="Times New Roman" w:cs="Times New Roman"/>
          <w:color w:val="000000"/>
          <w:sz w:val="24"/>
          <w:szCs w:val="24"/>
          <w:lang w:val="en-GB"/>
        </w:rPr>
        <w:t xml:space="preserve">. What deserve to be pointed out at this moment is the fact that </w:t>
      </w:r>
      <w:r w:rsidR="0024599F" w:rsidRPr="009927E1">
        <w:rPr>
          <w:rFonts w:ascii="Times New Roman" w:hAnsi="Times New Roman" w:cs="Times New Roman"/>
          <w:color w:val="000000"/>
          <w:sz w:val="24"/>
          <w:szCs w:val="24"/>
          <w:lang w:val="en-GB"/>
        </w:rPr>
        <w:t>many</w:t>
      </w:r>
      <w:r w:rsidRPr="009927E1">
        <w:rPr>
          <w:rFonts w:ascii="Times New Roman" w:hAnsi="Times New Roman" w:cs="Times New Roman"/>
          <w:color w:val="000000"/>
          <w:sz w:val="24"/>
          <w:szCs w:val="24"/>
          <w:lang w:val="en-GB"/>
        </w:rPr>
        <w:t xml:space="preserve"> municipalities </w:t>
      </w:r>
      <w:r w:rsidR="00544A6A">
        <w:rPr>
          <w:rFonts w:ascii="Times New Roman" w:hAnsi="Times New Roman" w:cs="Times New Roman"/>
          <w:color w:val="000000"/>
          <w:sz w:val="24"/>
          <w:szCs w:val="24"/>
          <w:lang w:val="en-GB"/>
        </w:rPr>
        <w:t>spend half</w:t>
      </w:r>
      <w:r w:rsidRPr="009927E1">
        <w:rPr>
          <w:rFonts w:ascii="Times New Roman" w:hAnsi="Times New Roman" w:cs="Times New Roman"/>
          <w:color w:val="000000"/>
          <w:sz w:val="24"/>
          <w:szCs w:val="24"/>
          <w:lang w:val="en-GB"/>
        </w:rPr>
        <w:t xml:space="preserve"> on goods and services category </w:t>
      </w:r>
      <w:r w:rsidR="00544A6A">
        <w:rPr>
          <w:rFonts w:ascii="Times New Roman" w:hAnsi="Times New Roman" w:cs="Times New Roman"/>
          <w:color w:val="000000"/>
          <w:sz w:val="24"/>
          <w:szCs w:val="24"/>
          <w:lang w:val="en-GB"/>
        </w:rPr>
        <w:t>than</w:t>
      </w:r>
      <w:r w:rsidRPr="009927E1">
        <w:rPr>
          <w:rFonts w:ascii="Times New Roman" w:hAnsi="Times New Roman" w:cs="Times New Roman"/>
          <w:color w:val="000000"/>
          <w:sz w:val="24"/>
          <w:szCs w:val="24"/>
          <w:lang w:val="en-GB"/>
        </w:rPr>
        <w:t xml:space="preserve"> the cities over 200,000 inhabitants.</w:t>
      </w:r>
    </w:p>
    <w:p w14:paraId="7F185414" w14:textId="5A3AA7AC" w:rsidR="00E55E6F" w:rsidRDefault="0024599F" w:rsidP="00E55E6F">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One final remark concerns the high </w:t>
      </w:r>
      <w:r w:rsidR="00C4768C">
        <w:rPr>
          <w:rFonts w:ascii="Times New Roman" w:hAnsi="Times New Roman" w:cs="Times New Roman"/>
          <w:color w:val="000000"/>
          <w:sz w:val="24"/>
          <w:szCs w:val="24"/>
          <w:lang w:val="en-GB"/>
        </w:rPr>
        <w:t>level of wages</w:t>
      </w:r>
      <w:r w:rsidRPr="009927E1">
        <w:rPr>
          <w:rFonts w:ascii="Times New Roman" w:hAnsi="Times New Roman" w:cs="Times New Roman"/>
          <w:color w:val="000000"/>
          <w:sz w:val="24"/>
          <w:szCs w:val="24"/>
          <w:lang w:val="en-GB"/>
        </w:rPr>
        <w:t xml:space="preserve"> in the case of municipalities under 1,500 inhabitants. </w:t>
      </w:r>
      <w:r w:rsidR="00C4768C">
        <w:rPr>
          <w:rFonts w:ascii="Times New Roman" w:hAnsi="Times New Roman" w:cs="Times New Roman"/>
          <w:color w:val="000000"/>
          <w:sz w:val="24"/>
          <w:szCs w:val="24"/>
          <w:lang w:val="en-GB"/>
        </w:rPr>
        <w:t>D</w:t>
      </w:r>
      <w:r w:rsidRPr="009927E1">
        <w:rPr>
          <w:rFonts w:ascii="Times New Roman" w:hAnsi="Times New Roman" w:cs="Times New Roman"/>
          <w:color w:val="000000"/>
          <w:sz w:val="24"/>
          <w:szCs w:val="24"/>
          <w:lang w:val="en-GB"/>
        </w:rPr>
        <w:t xml:space="preserve">ata from </w:t>
      </w:r>
      <w:r w:rsidRPr="009927E1">
        <w:rPr>
          <w:rFonts w:ascii="Times New Roman" w:hAnsi="Times New Roman" w:cs="Times New Roman"/>
          <w:i/>
          <w:iCs/>
          <w:color w:val="000000"/>
          <w:sz w:val="24"/>
          <w:szCs w:val="24"/>
          <w:lang w:val="en-GB"/>
        </w:rPr>
        <w:t>Figure 2</w:t>
      </w:r>
      <w:r w:rsidRPr="009927E1">
        <w:rPr>
          <w:rFonts w:ascii="Times New Roman" w:hAnsi="Times New Roman" w:cs="Times New Roman"/>
          <w:color w:val="000000"/>
          <w:sz w:val="24"/>
          <w:szCs w:val="24"/>
          <w:lang w:val="en-GB"/>
        </w:rPr>
        <w:t xml:space="preserve"> shows a positive correlation between size and costs per inhabitant with wages </w:t>
      </w:r>
      <w:r w:rsidR="00C4768C">
        <w:rPr>
          <w:rFonts w:ascii="Times New Roman" w:hAnsi="Times New Roman" w:cs="Times New Roman"/>
          <w:color w:val="000000"/>
          <w:sz w:val="24"/>
          <w:szCs w:val="24"/>
          <w:lang w:val="en-GB"/>
        </w:rPr>
        <w:t>of local administration personnel</w:t>
      </w:r>
      <w:r w:rsidRPr="009927E1">
        <w:rPr>
          <w:rFonts w:ascii="Times New Roman" w:hAnsi="Times New Roman" w:cs="Times New Roman"/>
          <w:color w:val="000000"/>
          <w:sz w:val="24"/>
          <w:szCs w:val="24"/>
          <w:lang w:val="en-GB"/>
        </w:rPr>
        <w:t xml:space="preserve">. On this specific </w:t>
      </w:r>
      <w:r w:rsidR="00E55E6F" w:rsidRPr="009927E1">
        <w:rPr>
          <w:rFonts w:ascii="Times New Roman" w:hAnsi="Times New Roman" w:cs="Times New Roman"/>
          <w:color w:val="000000"/>
          <w:sz w:val="24"/>
          <w:szCs w:val="24"/>
          <w:lang w:val="en-GB"/>
        </w:rPr>
        <w:t>situation</w:t>
      </w:r>
      <w:r w:rsidRPr="009927E1">
        <w:rPr>
          <w:rFonts w:ascii="Times New Roman" w:hAnsi="Times New Roman" w:cs="Times New Roman"/>
          <w:color w:val="000000"/>
          <w:sz w:val="24"/>
          <w:szCs w:val="24"/>
          <w:lang w:val="en-GB"/>
        </w:rPr>
        <w:t xml:space="preserve"> some adjustments should be made in the future: the cost of democracy is high, but it should not be </w:t>
      </w:r>
      <w:r w:rsidRPr="009927E1">
        <w:rPr>
          <w:rFonts w:ascii="Times New Roman" w:hAnsi="Times New Roman" w:cs="Times New Roman"/>
          <w:color w:val="000000"/>
          <w:sz w:val="24"/>
          <w:szCs w:val="24"/>
          <w:lang w:val="en-GB"/>
        </w:rPr>
        <w:lastRenderedPageBreak/>
        <w:t xml:space="preserve">prohibitive (this category of rural municipalities </w:t>
      </w:r>
      <w:r w:rsidR="00E55E6F" w:rsidRPr="009927E1">
        <w:rPr>
          <w:rFonts w:ascii="Times New Roman" w:hAnsi="Times New Roman" w:cs="Times New Roman"/>
          <w:color w:val="000000"/>
          <w:sz w:val="24"/>
          <w:szCs w:val="24"/>
          <w:lang w:val="en-GB"/>
        </w:rPr>
        <w:t>has</w:t>
      </w:r>
      <w:r w:rsidR="005D4692">
        <w:rPr>
          <w:rFonts w:ascii="Times New Roman" w:hAnsi="Times New Roman" w:cs="Times New Roman"/>
          <w:color w:val="000000"/>
          <w:sz w:val="24"/>
          <w:szCs w:val="24"/>
          <w:lang w:val="en-GB"/>
        </w:rPr>
        <w:t>, for instance,</w:t>
      </w:r>
      <w:r w:rsidRPr="009927E1">
        <w:rPr>
          <w:rFonts w:ascii="Times New Roman" w:hAnsi="Times New Roman" w:cs="Times New Roman"/>
          <w:color w:val="000000"/>
          <w:sz w:val="24"/>
          <w:szCs w:val="24"/>
          <w:lang w:val="en-GB"/>
        </w:rPr>
        <w:t xml:space="preserve"> nine local councillors, that determines </w:t>
      </w:r>
      <w:r w:rsidR="00C4768C">
        <w:rPr>
          <w:rFonts w:ascii="Times New Roman" w:hAnsi="Times New Roman" w:cs="Times New Roman"/>
          <w:color w:val="000000"/>
          <w:sz w:val="24"/>
          <w:szCs w:val="24"/>
          <w:lang w:val="en-GB"/>
        </w:rPr>
        <w:t>high</w:t>
      </w:r>
      <w:r w:rsidRPr="009927E1">
        <w:rPr>
          <w:rFonts w:ascii="Times New Roman" w:hAnsi="Times New Roman" w:cs="Times New Roman"/>
          <w:color w:val="000000"/>
          <w:sz w:val="24"/>
          <w:szCs w:val="24"/>
          <w:lang w:val="en-GB"/>
        </w:rPr>
        <w:t xml:space="preserve"> costs</w:t>
      </w:r>
      <w:r w:rsidR="00E55E6F" w:rsidRPr="009927E1">
        <w:rPr>
          <w:rFonts w:ascii="Times New Roman" w:hAnsi="Times New Roman" w:cs="Times New Roman"/>
          <w:color w:val="000000"/>
          <w:sz w:val="24"/>
          <w:szCs w:val="24"/>
          <w:lang w:val="en-GB"/>
        </w:rPr>
        <w:t xml:space="preserve"> and over-representation). The cost for functioning of that municipalities should be resized: one option is inter-municipal cooperation systems, where some administrative functions and costs may be shared (finance, control activities, auditing, services delivery, etc.). So, trans-scaling allows economies of scale, where are possible, but also preserve the local identity and services are delivered directly to citizens.</w:t>
      </w:r>
    </w:p>
    <w:p w14:paraId="1BD4E61E" w14:textId="7427EA94" w:rsidR="008935F0" w:rsidRDefault="00B610AB" w:rsidP="008935F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Analysing the relation of size and efficiency of municipalities in different countries of Europe, </w:t>
      </w:r>
      <w:r w:rsidR="008935F0" w:rsidRPr="009927E1">
        <w:rPr>
          <w:rFonts w:ascii="Times New Roman" w:hAnsi="Times New Roman" w:cs="Times New Roman"/>
          <w:color w:val="000000"/>
          <w:sz w:val="24"/>
          <w:szCs w:val="24"/>
          <w:lang w:val="en-GB"/>
        </w:rPr>
        <w:t>Baldersheim and Rose (2010:4) conclude</w:t>
      </w:r>
      <w:r w:rsidR="008935F0">
        <w:rPr>
          <w:rFonts w:ascii="Times New Roman" w:hAnsi="Times New Roman" w:cs="Times New Roman"/>
          <w:color w:val="000000"/>
          <w:sz w:val="24"/>
          <w:szCs w:val="24"/>
          <w:lang w:val="en-GB"/>
        </w:rPr>
        <w:t>d</w:t>
      </w:r>
      <w:r w:rsidR="008935F0" w:rsidRPr="009927E1">
        <w:rPr>
          <w:rFonts w:ascii="Times New Roman" w:hAnsi="Times New Roman" w:cs="Times New Roman"/>
          <w:color w:val="000000"/>
          <w:sz w:val="24"/>
          <w:szCs w:val="24"/>
          <w:lang w:val="en-GB"/>
        </w:rPr>
        <w:t xml:space="preserve"> that the smaller is the average size of a municipality in a country, the fewer are the tasks assigned to be fulfilled and therefore, the smaller are local expenditures as a percentage of gross domestic product (GDP). This general conclusion should be amended, especially if we analyse the case of Romania.</w:t>
      </w:r>
      <w:r w:rsidR="008935F0" w:rsidRPr="00EE5ADC">
        <w:rPr>
          <w:rFonts w:ascii="Times New Roman" w:hAnsi="Times New Roman" w:cs="Times New Roman"/>
          <w:color w:val="000000"/>
          <w:sz w:val="24"/>
          <w:szCs w:val="24"/>
          <w:lang w:val="en-GB"/>
        </w:rPr>
        <w:t xml:space="preserve"> </w:t>
      </w:r>
      <w:r w:rsidR="00C4768C">
        <w:rPr>
          <w:rFonts w:ascii="Times New Roman" w:hAnsi="Times New Roman" w:cs="Times New Roman"/>
          <w:color w:val="000000"/>
          <w:sz w:val="24"/>
          <w:szCs w:val="24"/>
          <w:lang w:val="en-GB"/>
        </w:rPr>
        <w:t>U</w:t>
      </w:r>
      <w:r w:rsidR="008935F0">
        <w:rPr>
          <w:rFonts w:ascii="Times New Roman" w:hAnsi="Times New Roman" w:cs="Times New Roman"/>
          <w:color w:val="000000"/>
          <w:sz w:val="24"/>
          <w:szCs w:val="24"/>
          <w:lang w:val="en-GB"/>
        </w:rPr>
        <w:t>sing statistical data from South-East Europe and Balkan countries, a study of the Network of Associations of Local Authorities of South-East Europe (NALAS) offers comparative data regarding the situation of local governments expenditures as % of GDP: EU 27 (11,3%), Romania (8,7%), Croatia (7,3%), Bulgaria (7,2%), South-East Europe (6,0%), Austria (5,5%), Western Balkans (5,3%), Slovenia (4,7%).</w:t>
      </w:r>
    </w:p>
    <w:p w14:paraId="518CBE20" w14:textId="3D753469" w:rsidR="008935F0" w:rsidRPr="00FD6DD6" w:rsidRDefault="008935F0" w:rsidP="008935F0">
      <w:pPr>
        <w:suppressAutoHyphens/>
        <w:autoSpaceDE w:val="0"/>
        <w:autoSpaceDN w:val="0"/>
        <w:adjustRightInd w:val="0"/>
        <w:spacing w:after="0" w:line="240" w:lineRule="auto"/>
        <w:jc w:val="both"/>
        <w:textAlignment w:val="center"/>
        <w:rPr>
          <w:rFonts w:ascii="Times New Roman" w:hAnsi="Times New Roman" w:cs="Times New Roman"/>
          <w:color w:val="000000"/>
          <w:lang w:val="en-GB"/>
        </w:rPr>
      </w:pPr>
      <w:r w:rsidRPr="00FD6DD6">
        <w:rPr>
          <w:rFonts w:ascii="Times New Roman" w:hAnsi="Times New Roman" w:cs="Times New Roman"/>
          <w:i/>
          <w:iCs/>
          <w:color w:val="000000"/>
          <w:lang w:val="en-GB"/>
        </w:rPr>
        <w:t xml:space="preserve">Table </w:t>
      </w:r>
      <w:r w:rsidR="000D024C">
        <w:rPr>
          <w:rFonts w:ascii="Times New Roman" w:hAnsi="Times New Roman" w:cs="Times New Roman"/>
          <w:i/>
          <w:iCs/>
          <w:color w:val="000000"/>
          <w:lang w:val="en-GB"/>
        </w:rPr>
        <w:t>3</w:t>
      </w:r>
      <w:r w:rsidRPr="00FD6DD6">
        <w:rPr>
          <w:rFonts w:ascii="Times New Roman" w:hAnsi="Times New Roman" w:cs="Times New Roman"/>
          <w:color w:val="000000"/>
          <w:lang w:val="en-GB"/>
        </w:rPr>
        <w:t>. Local Governments Investments</w:t>
      </w:r>
    </w:p>
    <w:tbl>
      <w:tblPr>
        <w:tblStyle w:val="Tabelgril"/>
        <w:tblW w:w="0" w:type="auto"/>
        <w:tblLook w:val="04A0" w:firstRow="1" w:lastRow="0" w:firstColumn="1" w:lastColumn="0" w:noHBand="0" w:noVBand="1"/>
      </w:tblPr>
      <w:tblGrid>
        <w:gridCol w:w="1510"/>
        <w:gridCol w:w="1510"/>
        <w:gridCol w:w="1510"/>
        <w:gridCol w:w="1510"/>
        <w:gridCol w:w="1510"/>
        <w:gridCol w:w="1510"/>
      </w:tblGrid>
      <w:tr w:rsidR="008935F0" w:rsidRPr="00FD6DD6" w14:paraId="3E035197" w14:textId="77777777" w:rsidTr="004C74DB">
        <w:tc>
          <w:tcPr>
            <w:tcW w:w="1510" w:type="dxa"/>
          </w:tcPr>
          <w:p w14:paraId="1F66B86E" w14:textId="77777777" w:rsidR="008935F0" w:rsidRPr="00FD6DD6" w:rsidRDefault="008935F0" w:rsidP="004C74DB">
            <w:pPr>
              <w:suppressAutoHyphens/>
              <w:autoSpaceDE w:val="0"/>
              <w:autoSpaceDN w:val="0"/>
              <w:adjustRightInd w:val="0"/>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2021</w:t>
            </w:r>
          </w:p>
        </w:tc>
        <w:tc>
          <w:tcPr>
            <w:tcW w:w="1510" w:type="dxa"/>
          </w:tcPr>
          <w:p w14:paraId="42BE0F87"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in Million €</w:t>
            </w:r>
          </w:p>
        </w:tc>
        <w:tc>
          <w:tcPr>
            <w:tcW w:w="1510" w:type="dxa"/>
          </w:tcPr>
          <w:p w14:paraId="10669765"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in € per capita</w:t>
            </w:r>
          </w:p>
        </w:tc>
        <w:tc>
          <w:tcPr>
            <w:tcW w:w="1510" w:type="dxa"/>
          </w:tcPr>
          <w:p w14:paraId="4ACAC00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in % of GDP</w:t>
            </w:r>
          </w:p>
        </w:tc>
        <w:tc>
          <w:tcPr>
            <w:tcW w:w="1510" w:type="dxa"/>
          </w:tcPr>
          <w:p w14:paraId="5F34B6AF"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 of local Government Spending</w:t>
            </w:r>
          </w:p>
        </w:tc>
        <w:tc>
          <w:tcPr>
            <w:tcW w:w="1510" w:type="dxa"/>
          </w:tcPr>
          <w:p w14:paraId="04514CFE"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 of Total Public Investment</w:t>
            </w:r>
          </w:p>
        </w:tc>
      </w:tr>
      <w:tr w:rsidR="008935F0" w:rsidRPr="00FD6DD6" w14:paraId="30309DB1" w14:textId="77777777" w:rsidTr="004C74DB">
        <w:tc>
          <w:tcPr>
            <w:tcW w:w="1510" w:type="dxa"/>
          </w:tcPr>
          <w:p w14:paraId="205DD2DE"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Austria</w:t>
            </w:r>
          </w:p>
        </w:tc>
        <w:tc>
          <w:tcPr>
            <w:tcW w:w="1510" w:type="dxa"/>
          </w:tcPr>
          <w:p w14:paraId="4A6F4D4A"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3,387</w:t>
            </w:r>
          </w:p>
        </w:tc>
        <w:tc>
          <w:tcPr>
            <w:tcW w:w="1510" w:type="dxa"/>
          </w:tcPr>
          <w:p w14:paraId="2AF4E407"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483</w:t>
            </w:r>
          </w:p>
        </w:tc>
        <w:tc>
          <w:tcPr>
            <w:tcW w:w="1510" w:type="dxa"/>
          </w:tcPr>
          <w:p w14:paraId="0FDCB9B6"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0,8%</w:t>
            </w:r>
          </w:p>
        </w:tc>
        <w:tc>
          <w:tcPr>
            <w:tcW w:w="1510" w:type="dxa"/>
          </w:tcPr>
          <w:p w14:paraId="21CD347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15,1%</w:t>
            </w:r>
          </w:p>
        </w:tc>
        <w:tc>
          <w:tcPr>
            <w:tcW w:w="1510" w:type="dxa"/>
          </w:tcPr>
          <w:p w14:paraId="586184CD"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23,9%</w:t>
            </w:r>
          </w:p>
        </w:tc>
      </w:tr>
      <w:tr w:rsidR="008935F0" w:rsidRPr="00FD6DD6" w14:paraId="3A78A20D" w14:textId="77777777" w:rsidTr="004C74DB">
        <w:tc>
          <w:tcPr>
            <w:tcW w:w="1510" w:type="dxa"/>
          </w:tcPr>
          <w:p w14:paraId="541E5462"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Bulgaria</w:t>
            </w:r>
          </w:p>
        </w:tc>
        <w:tc>
          <w:tcPr>
            <w:tcW w:w="1510" w:type="dxa"/>
          </w:tcPr>
          <w:p w14:paraId="2A981F93"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919</w:t>
            </w:r>
          </w:p>
        </w:tc>
        <w:tc>
          <w:tcPr>
            <w:tcW w:w="1510" w:type="dxa"/>
          </w:tcPr>
          <w:p w14:paraId="29001A6D"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134</w:t>
            </w:r>
          </w:p>
        </w:tc>
        <w:tc>
          <w:tcPr>
            <w:tcW w:w="1510" w:type="dxa"/>
          </w:tcPr>
          <w:p w14:paraId="0402A124"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1,4%</w:t>
            </w:r>
          </w:p>
        </w:tc>
        <w:tc>
          <w:tcPr>
            <w:tcW w:w="1510" w:type="dxa"/>
          </w:tcPr>
          <w:p w14:paraId="73EC97E0"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18,7%</w:t>
            </w:r>
          </w:p>
        </w:tc>
        <w:tc>
          <w:tcPr>
            <w:tcW w:w="1510" w:type="dxa"/>
          </w:tcPr>
          <w:p w14:paraId="568B563F"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41,3%</w:t>
            </w:r>
          </w:p>
        </w:tc>
      </w:tr>
      <w:tr w:rsidR="008935F0" w:rsidRPr="00FD6DD6" w14:paraId="204FC977" w14:textId="77777777" w:rsidTr="004C74DB">
        <w:tc>
          <w:tcPr>
            <w:tcW w:w="1510" w:type="dxa"/>
          </w:tcPr>
          <w:p w14:paraId="40EDAD88"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Croatia</w:t>
            </w:r>
          </w:p>
        </w:tc>
        <w:tc>
          <w:tcPr>
            <w:tcW w:w="1510" w:type="dxa"/>
          </w:tcPr>
          <w:p w14:paraId="792707F4"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929</w:t>
            </w:r>
          </w:p>
        </w:tc>
        <w:tc>
          <w:tcPr>
            <w:tcW w:w="1510" w:type="dxa"/>
          </w:tcPr>
          <w:p w14:paraId="69691BC4"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240</w:t>
            </w:r>
          </w:p>
        </w:tc>
        <w:tc>
          <w:tcPr>
            <w:tcW w:w="1510" w:type="dxa"/>
          </w:tcPr>
          <w:p w14:paraId="005B1F6D"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1,6%</w:t>
            </w:r>
          </w:p>
        </w:tc>
        <w:tc>
          <w:tcPr>
            <w:tcW w:w="1510" w:type="dxa"/>
          </w:tcPr>
          <w:p w14:paraId="42D13752"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22,0%</w:t>
            </w:r>
          </w:p>
        </w:tc>
        <w:tc>
          <w:tcPr>
            <w:tcW w:w="1510" w:type="dxa"/>
          </w:tcPr>
          <w:p w14:paraId="6F440A65"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34,0%</w:t>
            </w:r>
          </w:p>
        </w:tc>
      </w:tr>
      <w:tr w:rsidR="008935F0" w:rsidRPr="00FD6DD6" w14:paraId="207A3381" w14:textId="77777777" w:rsidTr="004C74DB">
        <w:tc>
          <w:tcPr>
            <w:tcW w:w="1510" w:type="dxa"/>
          </w:tcPr>
          <w:p w14:paraId="2FF0AEFA"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Romania</w:t>
            </w:r>
          </w:p>
        </w:tc>
        <w:tc>
          <w:tcPr>
            <w:tcW w:w="1510" w:type="dxa"/>
          </w:tcPr>
          <w:p w14:paraId="3F75710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5,863</w:t>
            </w:r>
          </w:p>
        </w:tc>
        <w:tc>
          <w:tcPr>
            <w:tcW w:w="1510" w:type="dxa"/>
          </w:tcPr>
          <w:p w14:paraId="177D1872"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302</w:t>
            </w:r>
          </w:p>
        </w:tc>
        <w:tc>
          <w:tcPr>
            <w:tcW w:w="1510" w:type="dxa"/>
          </w:tcPr>
          <w:p w14:paraId="351F822A"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2,4%</w:t>
            </w:r>
          </w:p>
        </w:tc>
        <w:tc>
          <w:tcPr>
            <w:tcW w:w="1510" w:type="dxa"/>
          </w:tcPr>
          <w:p w14:paraId="14D15A4E"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28,0%</w:t>
            </w:r>
          </w:p>
        </w:tc>
        <w:tc>
          <w:tcPr>
            <w:tcW w:w="1510" w:type="dxa"/>
          </w:tcPr>
          <w:p w14:paraId="3E821C08"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48,7%</w:t>
            </w:r>
          </w:p>
        </w:tc>
      </w:tr>
      <w:tr w:rsidR="008935F0" w:rsidRPr="00FD6DD6" w14:paraId="32491DF0" w14:textId="77777777" w:rsidTr="004C74DB">
        <w:tc>
          <w:tcPr>
            <w:tcW w:w="1510" w:type="dxa"/>
          </w:tcPr>
          <w:p w14:paraId="0B16921D"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Slovenia</w:t>
            </w:r>
          </w:p>
        </w:tc>
        <w:tc>
          <w:tcPr>
            <w:tcW w:w="1510" w:type="dxa"/>
          </w:tcPr>
          <w:p w14:paraId="7BF0297D"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889</w:t>
            </w:r>
          </w:p>
        </w:tc>
        <w:tc>
          <w:tcPr>
            <w:tcW w:w="1510" w:type="dxa"/>
          </w:tcPr>
          <w:p w14:paraId="4774A123"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422</w:t>
            </w:r>
          </w:p>
        </w:tc>
        <w:tc>
          <w:tcPr>
            <w:tcW w:w="1510" w:type="dxa"/>
          </w:tcPr>
          <w:p w14:paraId="605697F3"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1,7%</w:t>
            </w:r>
          </w:p>
        </w:tc>
        <w:tc>
          <w:tcPr>
            <w:tcW w:w="1510" w:type="dxa"/>
          </w:tcPr>
          <w:p w14:paraId="7510361E"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36,4%</w:t>
            </w:r>
          </w:p>
        </w:tc>
        <w:tc>
          <w:tcPr>
            <w:tcW w:w="1510" w:type="dxa"/>
          </w:tcPr>
          <w:p w14:paraId="09F90BDF"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45,4%</w:t>
            </w:r>
          </w:p>
        </w:tc>
      </w:tr>
      <w:tr w:rsidR="008935F0" w:rsidRPr="00FD6DD6" w14:paraId="0FE73934" w14:textId="77777777" w:rsidTr="004C74DB">
        <w:tc>
          <w:tcPr>
            <w:tcW w:w="1510" w:type="dxa"/>
          </w:tcPr>
          <w:p w14:paraId="3A0E554F"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Western Balkans</w:t>
            </w:r>
          </w:p>
        </w:tc>
        <w:tc>
          <w:tcPr>
            <w:tcW w:w="1510" w:type="dxa"/>
          </w:tcPr>
          <w:p w14:paraId="52EB785D"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1,264</w:t>
            </w:r>
          </w:p>
        </w:tc>
        <w:tc>
          <w:tcPr>
            <w:tcW w:w="1510" w:type="dxa"/>
          </w:tcPr>
          <w:p w14:paraId="2E755842"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77</w:t>
            </w:r>
          </w:p>
        </w:tc>
        <w:tc>
          <w:tcPr>
            <w:tcW w:w="1510" w:type="dxa"/>
          </w:tcPr>
          <w:p w14:paraId="66C7B8F6"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1,2%</w:t>
            </w:r>
          </w:p>
        </w:tc>
        <w:tc>
          <w:tcPr>
            <w:tcW w:w="1510" w:type="dxa"/>
          </w:tcPr>
          <w:p w14:paraId="170F9F2B"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22,9%</w:t>
            </w:r>
          </w:p>
        </w:tc>
        <w:tc>
          <w:tcPr>
            <w:tcW w:w="1510" w:type="dxa"/>
          </w:tcPr>
          <w:p w14:paraId="4D59FA6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24,5%</w:t>
            </w:r>
          </w:p>
        </w:tc>
      </w:tr>
      <w:tr w:rsidR="008935F0" w:rsidRPr="00FD6DD6" w14:paraId="5FA6DAD1" w14:textId="77777777" w:rsidTr="004C74DB">
        <w:tc>
          <w:tcPr>
            <w:tcW w:w="1510" w:type="dxa"/>
          </w:tcPr>
          <w:p w14:paraId="348A2AD3"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South-East Europe</w:t>
            </w:r>
          </w:p>
        </w:tc>
        <w:tc>
          <w:tcPr>
            <w:tcW w:w="1510" w:type="dxa"/>
          </w:tcPr>
          <w:p w14:paraId="3399BD9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16,982</w:t>
            </w:r>
          </w:p>
        </w:tc>
        <w:tc>
          <w:tcPr>
            <w:tcW w:w="1510" w:type="dxa"/>
          </w:tcPr>
          <w:p w14:paraId="2C0A2025"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142</w:t>
            </w:r>
          </w:p>
        </w:tc>
        <w:tc>
          <w:tcPr>
            <w:tcW w:w="1510" w:type="dxa"/>
          </w:tcPr>
          <w:p w14:paraId="1B7FF553"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1,5%</w:t>
            </w:r>
          </w:p>
        </w:tc>
        <w:tc>
          <w:tcPr>
            <w:tcW w:w="1510" w:type="dxa"/>
          </w:tcPr>
          <w:p w14:paraId="16F3286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24,5%</w:t>
            </w:r>
          </w:p>
        </w:tc>
        <w:tc>
          <w:tcPr>
            <w:tcW w:w="1510" w:type="dxa"/>
          </w:tcPr>
          <w:p w14:paraId="0960BFB3"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34,1%</w:t>
            </w:r>
          </w:p>
        </w:tc>
      </w:tr>
      <w:tr w:rsidR="008935F0" w:rsidRPr="00FD6DD6" w14:paraId="262FBF10" w14:textId="77777777" w:rsidTr="004C74DB">
        <w:tc>
          <w:tcPr>
            <w:tcW w:w="1510" w:type="dxa"/>
          </w:tcPr>
          <w:p w14:paraId="1F2564E3" w14:textId="77777777" w:rsidR="008935F0" w:rsidRPr="00FD6DD6" w:rsidRDefault="008935F0" w:rsidP="004C74DB">
            <w:pPr>
              <w:suppressAutoHyphens/>
              <w:autoSpaceDE w:val="0"/>
              <w:autoSpaceDN w:val="0"/>
              <w:adjustRightInd w:val="0"/>
              <w:jc w:val="both"/>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EU 27 (2020)</w:t>
            </w:r>
          </w:p>
        </w:tc>
        <w:tc>
          <w:tcPr>
            <w:tcW w:w="1510" w:type="dxa"/>
          </w:tcPr>
          <w:p w14:paraId="789C0D96"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209,045</w:t>
            </w:r>
          </w:p>
        </w:tc>
        <w:tc>
          <w:tcPr>
            <w:tcW w:w="1510" w:type="dxa"/>
          </w:tcPr>
          <w:p w14:paraId="15C22B6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533</w:t>
            </w:r>
          </w:p>
        </w:tc>
        <w:tc>
          <w:tcPr>
            <w:tcW w:w="1510" w:type="dxa"/>
          </w:tcPr>
          <w:p w14:paraId="5506F3B1"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1,4%</w:t>
            </w:r>
          </w:p>
        </w:tc>
        <w:tc>
          <w:tcPr>
            <w:tcW w:w="1510" w:type="dxa"/>
          </w:tcPr>
          <w:p w14:paraId="06BFA3C6"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14,5%</w:t>
            </w:r>
          </w:p>
        </w:tc>
        <w:tc>
          <w:tcPr>
            <w:tcW w:w="1510" w:type="dxa"/>
          </w:tcPr>
          <w:p w14:paraId="00FA8793" w14:textId="77777777" w:rsidR="008935F0" w:rsidRPr="00FD6DD6" w:rsidRDefault="008935F0" w:rsidP="004C74DB">
            <w:pPr>
              <w:suppressAutoHyphens/>
              <w:autoSpaceDE w:val="0"/>
              <w:autoSpaceDN w:val="0"/>
              <w:adjustRightInd w:val="0"/>
              <w:jc w:val="center"/>
              <w:textAlignment w:val="center"/>
              <w:rPr>
                <w:rFonts w:ascii="Times New Roman" w:hAnsi="Times New Roman" w:cs="Times New Roman"/>
                <w:color w:val="000000"/>
                <w:lang w:val="en-GB"/>
              </w:rPr>
            </w:pPr>
            <w:r w:rsidRPr="00FD6DD6">
              <w:rPr>
                <w:rFonts w:ascii="Times New Roman" w:hAnsi="Times New Roman" w:cs="Times New Roman"/>
                <w:color w:val="000000"/>
                <w:lang w:val="en-GB"/>
              </w:rPr>
              <w:t>43,2%</w:t>
            </w:r>
          </w:p>
        </w:tc>
      </w:tr>
    </w:tbl>
    <w:p w14:paraId="10C1862F" w14:textId="77777777" w:rsidR="008935F0" w:rsidRPr="00FD6DD6" w:rsidRDefault="008935F0" w:rsidP="000D024C">
      <w:pPr>
        <w:suppressAutoHyphens/>
        <w:autoSpaceDE w:val="0"/>
        <w:autoSpaceDN w:val="0"/>
        <w:adjustRightInd w:val="0"/>
        <w:spacing w:line="240" w:lineRule="auto"/>
        <w:jc w:val="both"/>
        <w:textAlignment w:val="center"/>
        <w:rPr>
          <w:rFonts w:ascii="Times New Roman" w:hAnsi="Times New Roman" w:cs="Times New Roman"/>
          <w:color w:val="000000"/>
          <w:lang w:val="en-GB"/>
        </w:rPr>
      </w:pPr>
      <w:r w:rsidRPr="00FD6DD6">
        <w:rPr>
          <w:rFonts w:ascii="Times New Roman" w:hAnsi="Times New Roman" w:cs="Times New Roman"/>
          <w:i/>
          <w:iCs/>
          <w:color w:val="000000"/>
          <w:lang w:val="en-GB"/>
        </w:rPr>
        <w:t>Source</w:t>
      </w:r>
      <w:r w:rsidRPr="00FD6DD6">
        <w:rPr>
          <w:rFonts w:ascii="Times New Roman" w:hAnsi="Times New Roman" w:cs="Times New Roman"/>
          <w:color w:val="000000"/>
          <w:lang w:val="en-GB"/>
        </w:rPr>
        <w:t>: NALAS, Local Government Finance Indicators in South-East Europe. Statistical Brief 2023 (</w:t>
      </w:r>
      <w:hyperlink r:id="rId10" w:history="1">
        <w:r w:rsidRPr="00FD6DD6">
          <w:rPr>
            <w:rStyle w:val="Hyperlink"/>
            <w:rFonts w:ascii="Times New Roman" w:hAnsi="Times New Roman" w:cs="Times New Roman"/>
            <w:lang w:val="en-GB"/>
          </w:rPr>
          <w:t>https://core.nalas-observatory.eu/files/publications/pdf/1698936085.pdf</w:t>
        </w:r>
      </w:hyperlink>
      <w:r w:rsidRPr="00FD6DD6">
        <w:rPr>
          <w:rFonts w:ascii="Times New Roman" w:hAnsi="Times New Roman" w:cs="Times New Roman"/>
          <w:color w:val="000000"/>
          <w:lang w:val="en-GB"/>
        </w:rPr>
        <w:t>).</w:t>
      </w:r>
    </w:p>
    <w:p w14:paraId="6B456EFC" w14:textId="5D420D89" w:rsidR="008935F0" w:rsidRPr="000D024C" w:rsidRDefault="000D024C" w:rsidP="000D024C">
      <w:pPr>
        <w:suppressAutoHyphens/>
        <w:autoSpaceDE w:val="0"/>
        <w:autoSpaceDN w:val="0"/>
        <w:adjustRightInd w:val="0"/>
        <w:spacing w:line="360" w:lineRule="auto"/>
        <w:ind w:firstLine="283"/>
        <w:jc w:val="both"/>
        <w:textAlignment w:val="center"/>
        <w:rPr>
          <w:rFonts w:ascii="Times New Roman" w:hAnsi="Times New Roman" w:cs="Times New Roman"/>
          <w:color w:val="000000"/>
          <w:sz w:val="24"/>
          <w:szCs w:val="24"/>
          <w:lang w:val="en-US"/>
        </w:rPr>
      </w:pPr>
      <w:r w:rsidRPr="000D024C">
        <w:rPr>
          <w:rFonts w:ascii="Times New Roman" w:hAnsi="Times New Roman" w:cs="Times New Roman"/>
          <w:color w:val="000000"/>
          <w:sz w:val="24"/>
          <w:szCs w:val="24"/>
          <w:lang w:val="en-US"/>
        </w:rPr>
        <w:t xml:space="preserve">Romanian municipalities </w:t>
      </w:r>
      <w:r w:rsidR="00C4768C">
        <w:rPr>
          <w:rFonts w:ascii="Times New Roman" w:hAnsi="Times New Roman" w:cs="Times New Roman"/>
          <w:color w:val="000000"/>
          <w:sz w:val="24"/>
          <w:szCs w:val="24"/>
          <w:lang w:val="en-US"/>
        </w:rPr>
        <w:t xml:space="preserve">have </w:t>
      </w:r>
      <w:r w:rsidRPr="000D024C">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 xml:space="preserve">high level of local investments as percentage of GDP, almost double then EU average, and more then other countries from the region, as it can be observed from the data presented in </w:t>
      </w:r>
      <w:r w:rsidRPr="000D024C">
        <w:rPr>
          <w:rFonts w:ascii="Times New Roman" w:hAnsi="Times New Roman" w:cs="Times New Roman"/>
          <w:i/>
          <w:iCs/>
          <w:color w:val="000000"/>
          <w:sz w:val="24"/>
          <w:szCs w:val="24"/>
          <w:lang w:val="en-US"/>
        </w:rPr>
        <w:t>Table 3</w:t>
      </w:r>
      <w:r>
        <w:rPr>
          <w:rFonts w:ascii="Times New Roman" w:hAnsi="Times New Roman" w:cs="Times New Roman"/>
          <w:color w:val="000000"/>
          <w:sz w:val="24"/>
          <w:szCs w:val="24"/>
          <w:lang w:val="en-US"/>
        </w:rPr>
        <w:t>.</w:t>
      </w:r>
      <w:r w:rsidR="00FF04F5">
        <w:rPr>
          <w:rFonts w:ascii="Times New Roman" w:hAnsi="Times New Roman" w:cs="Times New Roman"/>
          <w:color w:val="000000"/>
          <w:sz w:val="24"/>
          <w:szCs w:val="24"/>
          <w:lang w:val="en-US"/>
        </w:rPr>
        <w:t xml:space="preserve"> The investments made by Romanian municipalities represent 48,7% of the total public investments, </w:t>
      </w:r>
      <w:r w:rsidR="007F19D8">
        <w:rPr>
          <w:rFonts w:ascii="Times New Roman" w:hAnsi="Times New Roman" w:cs="Times New Roman"/>
          <w:color w:val="000000"/>
          <w:sz w:val="24"/>
          <w:szCs w:val="24"/>
          <w:lang w:val="en-US"/>
        </w:rPr>
        <w:t>showing</w:t>
      </w:r>
      <w:r w:rsidR="00FF04F5">
        <w:rPr>
          <w:rFonts w:ascii="Times New Roman" w:hAnsi="Times New Roman" w:cs="Times New Roman"/>
          <w:color w:val="000000"/>
          <w:sz w:val="24"/>
          <w:szCs w:val="24"/>
          <w:lang w:val="en-US"/>
        </w:rPr>
        <w:t xml:space="preserve"> the </w:t>
      </w:r>
      <w:r w:rsidR="00C4768C">
        <w:rPr>
          <w:rFonts w:ascii="Times New Roman" w:hAnsi="Times New Roman" w:cs="Times New Roman"/>
          <w:color w:val="000000"/>
          <w:sz w:val="24"/>
          <w:szCs w:val="24"/>
          <w:lang w:val="en-US"/>
        </w:rPr>
        <w:t xml:space="preserve">range of the </w:t>
      </w:r>
      <w:r w:rsidR="00FF04F5">
        <w:rPr>
          <w:rFonts w:ascii="Times New Roman" w:hAnsi="Times New Roman" w:cs="Times New Roman"/>
          <w:color w:val="000000"/>
          <w:sz w:val="24"/>
          <w:szCs w:val="24"/>
          <w:lang w:val="en-US"/>
        </w:rPr>
        <w:t>activities of local authorities and their efforts to develop their municipalities.</w:t>
      </w:r>
      <w:r w:rsidR="00797DDD">
        <w:rPr>
          <w:rFonts w:ascii="Times New Roman" w:hAnsi="Times New Roman" w:cs="Times New Roman"/>
          <w:color w:val="000000"/>
          <w:sz w:val="24"/>
          <w:szCs w:val="24"/>
          <w:lang w:val="en-US"/>
        </w:rPr>
        <w:t xml:space="preserve"> Even if we see that the percentage of wages are high in local governments spending, </w:t>
      </w:r>
      <w:r w:rsidR="009C4D65">
        <w:rPr>
          <w:rFonts w:ascii="Times New Roman" w:hAnsi="Times New Roman" w:cs="Times New Roman"/>
          <w:color w:val="000000"/>
          <w:sz w:val="24"/>
          <w:szCs w:val="24"/>
          <w:lang w:val="en-US"/>
        </w:rPr>
        <w:t>similar levels (</w:t>
      </w:r>
      <w:r w:rsidR="00797DDD">
        <w:rPr>
          <w:rFonts w:ascii="Times New Roman" w:hAnsi="Times New Roman" w:cs="Times New Roman"/>
          <w:color w:val="000000"/>
          <w:sz w:val="24"/>
          <w:szCs w:val="24"/>
          <w:lang w:val="en-US"/>
        </w:rPr>
        <w:t>almost 30%</w:t>
      </w:r>
      <w:r w:rsidR="009C4D65">
        <w:rPr>
          <w:rFonts w:ascii="Times New Roman" w:hAnsi="Times New Roman" w:cs="Times New Roman"/>
          <w:color w:val="000000"/>
          <w:sz w:val="24"/>
          <w:szCs w:val="24"/>
          <w:lang w:val="en-US"/>
        </w:rPr>
        <w:t>)</w:t>
      </w:r>
      <w:r w:rsidR="00797DDD">
        <w:rPr>
          <w:rFonts w:ascii="Times New Roman" w:hAnsi="Times New Roman" w:cs="Times New Roman"/>
          <w:color w:val="000000"/>
          <w:sz w:val="24"/>
          <w:szCs w:val="24"/>
          <w:lang w:val="en-US"/>
        </w:rPr>
        <w:t xml:space="preserve"> are also </w:t>
      </w:r>
      <w:r w:rsidR="009C4D65">
        <w:rPr>
          <w:rFonts w:ascii="Times New Roman" w:hAnsi="Times New Roman" w:cs="Times New Roman"/>
          <w:color w:val="000000"/>
          <w:sz w:val="24"/>
          <w:szCs w:val="24"/>
          <w:lang w:val="en-US"/>
        </w:rPr>
        <w:t>used for</w:t>
      </w:r>
      <w:r w:rsidR="00797DDD">
        <w:rPr>
          <w:rFonts w:ascii="Times New Roman" w:hAnsi="Times New Roman" w:cs="Times New Roman"/>
          <w:color w:val="000000"/>
          <w:sz w:val="24"/>
          <w:szCs w:val="24"/>
          <w:lang w:val="en-US"/>
        </w:rPr>
        <w:t xml:space="preserve"> </w:t>
      </w:r>
      <w:r w:rsidR="00797DDD">
        <w:rPr>
          <w:rFonts w:ascii="Times New Roman" w:hAnsi="Times New Roman" w:cs="Times New Roman"/>
          <w:color w:val="000000"/>
          <w:sz w:val="24"/>
          <w:szCs w:val="24"/>
          <w:lang w:val="en-US"/>
        </w:rPr>
        <w:lastRenderedPageBreak/>
        <w:t>local investments, that contributes to the development of local infrastructure, local public services and economic development.</w:t>
      </w:r>
    </w:p>
    <w:bookmarkEnd w:id="5"/>
    <w:p w14:paraId="09B35761" w14:textId="77777777" w:rsidR="00617390" w:rsidRPr="000D024C" w:rsidRDefault="00617390" w:rsidP="00617390">
      <w:pPr>
        <w:keepNext/>
        <w:suppressAutoHyphens/>
        <w:autoSpaceDE w:val="0"/>
        <w:autoSpaceDN w:val="0"/>
        <w:adjustRightInd w:val="0"/>
        <w:spacing w:before="240" w:after="0" w:line="360" w:lineRule="auto"/>
        <w:ind w:left="578" w:hanging="578"/>
        <w:textAlignment w:val="center"/>
        <w:outlineLvl w:val="1"/>
        <w:rPr>
          <w:rFonts w:ascii="Times New Roman" w:hAnsi="Times New Roman" w:cs="Times New Roman"/>
          <w:color w:val="000000"/>
          <w:sz w:val="24"/>
          <w:szCs w:val="24"/>
          <w:lang w:val="en-US"/>
        </w:rPr>
      </w:pPr>
      <w:r w:rsidRPr="000D024C">
        <w:rPr>
          <w:rFonts w:ascii="Times New Roman" w:hAnsi="Times New Roman" w:cs="Times New Roman"/>
          <w:i/>
          <w:iCs/>
          <w:color w:val="000000"/>
          <w:sz w:val="24"/>
          <w:szCs w:val="24"/>
          <w:lang w:val="en-US"/>
        </w:rPr>
        <w:t>Conclusions</w:t>
      </w:r>
    </w:p>
    <w:p w14:paraId="402BD4DE" w14:textId="674106EC" w:rsidR="00617390" w:rsidRPr="009927E1" w:rsidRDefault="00EF77FF" w:rsidP="00BB59DA">
      <w:pPr>
        <w:suppressAutoHyphens/>
        <w:autoSpaceDE w:val="0"/>
        <w:autoSpaceDN w:val="0"/>
        <w:adjustRightInd w:val="0"/>
        <w:spacing w:after="0" w:line="360" w:lineRule="auto"/>
        <w:ind w:firstLine="283"/>
        <w:jc w:val="both"/>
        <w:textAlignment w:val="center"/>
        <w:rPr>
          <w:rFonts w:ascii="Times New Roman" w:hAnsi="Times New Roman"/>
          <w:sz w:val="24"/>
          <w:szCs w:val="24"/>
          <w:lang w:val="en-GB"/>
        </w:rPr>
      </w:pPr>
      <w:r w:rsidRPr="009927E1">
        <w:rPr>
          <w:rFonts w:ascii="Times New Roman" w:hAnsi="Times New Roman"/>
          <w:sz w:val="24"/>
          <w:szCs w:val="24"/>
          <w:lang w:val="en-GB"/>
        </w:rPr>
        <w:t>The experience from the countries that had territorial reforms shows that is needed flexibility regarding thresholds</w:t>
      </w:r>
      <w:r w:rsidR="007D0C38" w:rsidRPr="009927E1">
        <w:rPr>
          <w:rFonts w:ascii="Times New Roman" w:hAnsi="Times New Roman"/>
          <w:sz w:val="24"/>
          <w:szCs w:val="24"/>
          <w:lang w:val="en-GB"/>
        </w:rPr>
        <w:t xml:space="preserve"> for the size of municipalities</w:t>
      </w:r>
      <w:r w:rsidRPr="009927E1">
        <w:rPr>
          <w:rFonts w:ascii="Times New Roman" w:hAnsi="Times New Roman"/>
          <w:sz w:val="24"/>
          <w:szCs w:val="24"/>
          <w:lang w:val="en-GB"/>
        </w:rPr>
        <w:t xml:space="preserve">, being considered the geographical conditions (mountain areas, islands, isolated areas, etc.), but also linguistic and/or other cultural characteristics. The merger process in rural areas, for example, should consider </w:t>
      </w:r>
      <w:r w:rsidR="00B610AB">
        <w:rPr>
          <w:rFonts w:ascii="Times New Roman" w:hAnsi="Times New Roman"/>
          <w:sz w:val="24"/>
          <w:szCs w:val="24"/>
          <w:lang w:val="en-GB"/>
        </w:rPr>
        <w:t>the accessibility of public services</w:t>
      </w:r>
      <w:r w:rsidRPr="009927E1">
        <w:rPr>
          <w:rFonts w:ascii="Times New Roman" w:hAnsi="Times New Roman"/>
          <w:sz w:val="24"/>
          <w:szCs w:val="24"/>
          <w:lang w:val="en-GB"/>
        </w:rPr>
        <w:t>, topography, roads and other existing infrastructure, etc.</w:t>
      </w:r>
      <w:r w:rsidR="00BB59DA" w:rsidRPr="009927E1">
        <w:rPr>
          <w:rFonts w:ascii="Times New Roman" w:hAnsi="Times New Roman"/>
          <w:sz w:val="24"/>
          <w:szCs w:val="24"/>
          <w:lang w:val="en-GB"/>
        </w:rPr>
        <w:t xml:space="preserve"> </w:t>
      </w:r>
      <w:r w:rsidR="00617390" w:rsidRPr="009927E1">
        <w:rPr>
          <w:rFonts w:ascii="Times New Roman" w:hAnsi="Times New Roman" w:cs="Times New Roman"/>
          <w:color w:val="000000"/>
          <w:sz w:val="24"/>
          <w:szCs w:val="24"/>
          <w:lang w:val="en-GB"/>
        </w:rPr>
        <w:t>Forced mergers seem to be inappropriate and they transcend the constitutional framework of our country.</w:t>
      </w:r>
    </w:p>
    <w:p w14:paraId="0A577142" w14:textId="792B32E3" w:rsidR="00A15BDB" w:rsidRDefault="00A15BDB" w:rsidP="00A15BDB">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The de-</w:t>
      </w:r>
      <w:r w:rsidR="0046564E">
        <w:rPr>
          <w:rFonts w:ascii="Times New Roman" w:hAnsi="Times New Roman" w:cs="Times New Roman"/>
          <w:color w:val="000000"/>
          <w:sz w:val="24"/>
          <w:szCs w:val="24"/>
          <w:lang w:val="en-GB"/>
        </w:rPr>
        <w:t xml:space="preserve">mergers of Romanian municipalities </w:t>
      </w:r>
      <w:r w:rsidR="00AF09EB">
        <w:rPr>
          <w:rFonts w:ascii="Times New Roman" w:hAnsi="Times New Roman" w:cs="Times New Roman"/>
          <w:color w:val="000000"/>
          <w:sz w:val="24"/>
          <w:szCs w:val="24"/>
          <w:lang w:val="en-GB"/>
        </w:rPr>
        <w:t>after 1990 increased the number of municipalities and the degree of fragmentation; other social trends (migration, aging of the population, reduced birthrate, etc.) determine</w:t>
      </w:r>
      <w:r w:rsidR="001308AC">
        <w:rPr>
          <w:rFonts w:ascii="Times New Roman" w:hAnsi="Times New Roman" w:cs="Times New Roman"/>
          <w:color w:val="000000"/>
          <w:sz w:val="24"/>
          <w:szCs w:val="24"/>
          <w:lang w:val="en-GB"/>
        </w:rPr>
        <w:t>d</w:t>
      </w:r>
      <w:r w:rsidR="00AF09EB">
        <w:rPr>
          <w:rFonts w:ascii="Times New Roman" w:hAnsi="Times New Roman" w:cs="Times New Roman"/>
          <w:color w:val="000000"/>
          <w:sz w:val="24"/>
          <w:szCs w:val="24"/>
          <w:lang w:val="en-GB"/>
        </w:rPr>
        <w:t xml:space="preserve"> depopulation of some municipalities. But when we look to the performance of this </w:t>
      </w:r>
      <w:r w:rsidRPr="009927E1">
        <w:rPr>
          <w:rFonts w:ascii="Times New Roman" w:hAnsi="Times New Roman" w:cs="Times New Roman"/>
          <w:color w:val="000000"/>
          <w:sz w:val="24"/>
          <w:szCs w:val="24"/>
          <w:lang w:val="en-GB"/>
        </w:rPr>
        <w:t xml:space="preserve">new created </w:t>
      </w:r>
      <w:r w:rsidR="009C3849" w:rsidRPr="009927E1">
        <w:rPr>
          <w:rFonts w:ascii="Times New Roman" w:hAnsi="Times New Roman" w:cs="Times New Roman"/>
          <w:color w:val="000000"/>
          <w:sz w:val="24"/>
          <w:szCs w:val="24"/>
          <w:lang w:val="en-GB"/>
        </w:rPr>
        <w:t>municipalities,</w:t>
      </w:r>
      <w:r w:rsidR="00AF09EB">
        <w:rPr>
          <w:rFonts w:ascii="Times New Roman" w:hAnsi="Times New Roman" w:cs="Times New Roman"/>
          <w:color w:val="000000"/>
          <w:sz w:val="24"/>
          <w:szCs w:val="24"/>
          <w:lang w:val="en-GB"/>
        </w:rPr>
        <w:t xml:space="preserve"> we can observe</w:t>
      </w:r>
      <w:r w:rsidRPr="009927E1">
        <w:rPr>
          <w:rFonts w:ascii="Times New Roman" w:hAnsi="Times New Roman" w:cs="Times New Roman"/>
          <w:color w:val="000000"/>
          <w:sz w:val="24"/>
          <w:szCs w:val="24"/>
          <w:lang w:val="en-GB"/>
        </w:rPr>
        <w:t xml:space="preserve"> some success stories regarding the EU funds absorption</w:t>
      </w:r>
      <w:r w:rsidR="00AF09EB">
        <w:rPr>
          <w:rFonts w:ascii="Times New Roman" w:hAnsi="Times New Roman" w:cs="Times New Roman"/>
          <w:color w:val="000000"/>
          <w:sz w:val="24"/>
          <w:szCs w:val="24"/>
          <w:lang w:val="en-GB"/>
        </w:rPr>
        <w:t>, for instance</w:t>
      </w:r>
      <w:r w:rsidRPr="009927E1">
        <w:rPr>
          <w:rFonts w:ascii="Times New Roman" w:hAnsi="Times New Roman" w:cs="Times New Roman"/>
          <w:color w:val="000000"/>
          <w:sz w:val="24"/>
          <w:szCs w:val="24"/>
          <w:lang w:val="en-GB"/>
        </w:rPr>
        <w:t>.</w:t>
      </w:r>
    </w:p>
    <w:p w14:paraId="592FE04A" w14:textId="6CCE0867" w:rsidR="00A00229" w:rsidRPr="009927E1" w:rsidRDefault="00A00229" w:rsidP="00A15BDB">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Romania do not have an extreme fragmentation</w:t>
      </w:r>
      <w:r w:rsidR="0046564E">
        <w:rPr>
          <w:rFonts w:ascii="Times New Roman" w:hAnsi="Times New Roman" w:cs="Times New Roman"/>
          <w:color w:val="000000"/>
          <w:sz w:val="24"/>
          <w:szCs w:val="24"/>
          <w:lang w:val="en-GB"/>
        </w:rPr>
        <w:t>;</w:t>
      </w:r>
      <w:r w:rsidR="001308AC">
        <w:rPr>
          <w:rFonts w:ascii="Times New Roman" w:hAnsi="Times New Roman" w:cs="Times New Roman"/>
          <w:color w:val="000000"/>
          <w:sz w:val="24"/>
          <w:szCs w:val="24"/>
          <w:lang w:val="en-GB"/>
        </w:rPr>
        <w:t xml:space="preserve"> </w:t>
      </w:r>
      <w:r w:rsidR="0046564E">
        <w:rPr>
          <w:rFonts w:ascii="Times New Roman" w:hAnsi="Times New Roman" w:cs="Times New Roman"/>
          <w:color w:val="000000"/>
          <w:sz w:val="24"/>
          <w:szCs w:val="24"/>
          <w:lang w:val="en-GB"/>
        </w:rPr>
        <w:t>t</w:t>
      </w:r>
      <w:r w:rsidR="001308AC">
        <w:rPr>
          <w:rFonts w:ascii="Times New Roman" w:hAnsi="Times New Roman" w:cs="Times New Roman"/>
          <w:color w:val="000000"/>
          <w:sz w:val="24"/>
          <w:szCs w:val="24"/>
          <w:lang w:val="en-GB"/>
        </w:rPr>
        <w:t>he</w:t>
      </w:r>
      <w:r w:rsidR="0046564E">
        <w:rPr>
          <w:rFonts w:ascii="Times New Roman" w:hAnsi="Times New Roman" w:cs="Times New Roman"/>
          <w:color w:val="000000"/>
          <w:sz w:val="24"/>
          <w:szCs w:val="24"/>
          <w:lang w:val="en-GB"/>
        </w:rPr>
        <w:t xml:space="preserve"> fragmentation</w:t>
      </w:r>
      <w:r w:rsidR="001308AC">
        <w:rPr>
          <w:rFonts w:ascii="Times New Roman" w:hAnsi="Times New Roman" w:cs="Times New Roman"/>
          <w:color w:val="000000"/>
          <w:sz w:val="24"/>
          <w:szCs w:val="24"/>
          <w:lang w:val="en-GB"/>
        </w:rPr>
        <w:t xml:space="preserve"> index is 1% under the EU27 average, the average population</w:t>
      </w:r>
      <w:r w:rsidR="00677189">
        <w:rPr>
          <w:rFonts w:ascii="Times New Roman" w:hAnsi="Times New Roman" w:cs="Times New Roman"/>
          <w:color w:val="000000"/>
          <w:sz w:val="24"/>
          <w:szCs w:val="24"/>
          <w:lang w:val="en-GB"/>
        </w:rPr>
        <w:t>, median population</w:t>
      </w:r>
      <w:r w:rsidR="001308AC">
        <w:rPr>
          <w:rFonts w:ascii="Times New Roman" w:hAnsi="Times New Roman" w:cs="Times New Roman"/>
          <w:color w:val="000000"/>
          <w:sz w:val="24"/>
          <w:szCs w:val="24"/>
          <w:lang w:val="en-GB"/>
        </w:rPr>
        <w:t xml:space="preserve"> and </w:t>
      </w:r>
      <w:r w:rsidR="001A1E88">
        <w:rPr>
          <w:rFonts w:ascii="Times New Roman" w:hAnsi="Times New Roman" w:cs="Times New Roman"/>
          <w:color w:val="000000"/>
          <w:sz w:val="24"/>
          <w:szCs w:val="24"/>
          <w:lang w:val="en-GB"/>
        </w:rPr>
        <w:t xml:space="preserve">average </w:t>
      </w:r>
      <w:r w:rsidR="001308AC">
        <w:rPr>
          <w:rFonts w:ascii="Times New Roman" w:hAnsi="Times New Roman" w:cs="Times New Roman"/>
          <w:color w:val="000000"/>
          <w:sz w:val="24"/>
          <w:szCs w:val="24"/>
          <w:lang w:val="en-GB"/>
        </w:rPr>
        <w:t xml:space="preserve">surface of municipalities are situated over a lot of other European countries, that means that we are in a similar historical trend. The reform of municipalities determined an artificial process of urbanization, with almost a quarter of cities </w:t>
      </w:r>
      <w:r w:rsidR="0046564E">
        <w:rPr>
          <w:rFonts w:ascii="Times New Roman" w:hAnsi="Times New Roman" w:cs="Times New Roman"/>
          <w:color w:val="000000"/>
          <w:sz w:val="24"/>
          <w:szCs w:val="24"/>
          <w:lang w:val="en-GB"/>
        </w:rPr>
        <w:t>having</w:t>
      </w:r>
      <w:r w:rsidR="001308AC">
        <w:rPr>
          <w:rFonts w:ascii="Times New Roman" w:hAnsi="Times New Roman" w:cs="Times New Roman"/>
          <w:color w:val="000000"/>
          <w:sz w:val="24"/>
          <w:szCs w:val="24"/>
          <w:lang w:val="en-GB"/>
        </w:rPr>
        <w:t xml:space="preserve"> less than 20,000 inhabitants and with half of towns situated between 5,000-10,000 inhabitants.</w:t>
      </w:r>
    </w:p>
    <w:p w14:paraId="1AD5BF91" w14:textId="598ACCF9" w:rsidR="00DF534D" w:rsidRPr="009927E1" w:rsidRDefault="00DF534D" w:rsidP="00A15BDB">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The data regarding </w:t>
      </w:r>
      <w:r w:rsidR="0093378A" w:rsidRPr="009927E1">
        <w:rPr>
          <w:rFonts w:ascii="Times New Roman" w:hAnsi="Times New Roman" w:cs="Times New Roman"/>
          <w:color w:val="000000"/>
          <w:sz w:val="24"/>
          <w:szCs w:val="24"/>
          <w:lang w:val="en-GB"/>
        </w:rPr>
        <w:t>R</w:t>
      </w:r>
      <w:r w:rsidRPr="009927E1">
        <w:rPr>
          <w:rFonts w:ascii="Times New Roman" w:hAnsi="Times New Roman" w:cs="Times New Roman"/>
          <w:color w:val="000000"/>
          <w:sz w:val="24"/>
          <w:szCs w:val="24"/>
          <w:lang w:val="en-GB"/>
        </w:rPr>
        <w:t xml:space="preserve">omanian municipalities shows </w:t>
      </w:r>
      <w:r w:rsidR="0093378A" w:rsidRPr="009927E1">
        <w:rPr>
          <w:rFonts w:ascii="Times New Roman" w:hAnsi="Times New Roman" w:cs="Times New Roman"/>
          <w:color w:val="000000"/>
          <w:sz w:val="24"/>
          <w:szCs w:val="24"/>
          <w:lang w:val="en-GB"/>
        </w:rPr>
        <w:t xml:space="preserve">there is </w:t>
      </w:r>
      <w:r w:rsidRPr="009927E1">
        <w:rPr>
          <w:rFonts w:ascii="Times New Roman" w:hAnsi="Times New Roman" w:cs="Times New Roman"/>
          <w:color w:val="000000"/>
          <w:sz w:val="24"/>
          <w:szCs w:val="24"/>
          <w:lang w:val="en-GB"/>
        </w:rPr>
        <w:t xml:space="preserve">no correlation between </w:t>
      </w:r>
      <w:r w:rsidR="0093378A" w:rsidRPr="009927E1">
        <w:rPr>
          <w:rFonts w:ascii="Times New Roman" w:hAnsi="Times New Roman" w:cs="Times New Roman"/>
          <w:color w:val="000000"/>
          <w:sz w:val="24"/>
          <w:szCs w:val="24"/>
          <w:lang w:val="en-GB"/>
        </w:rPr>
        <w:t xml:space="preserve">financial indicators and </w:t>
      </w:r>
      <w:r w:rsidRPr="009927E1">
        <w:rPr>
          <w:rFonts w:ascii="Times New Roman" w:hAnsi="Times New Roman" w:cs="Times New Roman"/>
          <w:color w:val="000000"/>
          <w:sz w:val="24"/>
          <w:szCs w:val="24"/>
          <w:lang w:val="en-GB"/>
        </w:rPr>
        <w:t xml:space="preserve">the number of </w:t>
      </w:r>
      <w:r w:rsidR="00894E55" w:rsidRPr="009927E1">
        <w:rPr>
          <w:rFonts w:ascii="Times New Roman" w:hAnsi="Times New Roman" w:cs="Times New Roman"/>
          <w:color w:val="000000"/>
          <w:sz w:val="24"/>
          <w:szCs w:val="24"/>
          <w:lang w:val="en-GB"/>
        </w:rPr>
        <w:t xml:space="preserve">populations. This means that an up-scaling will have the impact of reducing the number of </w:t>
      </w:r>
      <w:r w:rsidR="0093378A" w:rsidRPr="009927E1">
        <w:rPr>
          <w:rFonts w:ascii="Times New Roman" w:hAnsi="Times New Roman" w:cs="Times New Roman"/>
          <w:color w:val="000000"/>
          <w:sz w:val="24"/>
          <w:szCs w:val="24"/>
          <w:lang w:val="en-GB"/>
        </w:rPr>
        <w:t>municipalities but</w:t>
      </w:r>
      <w:r w:rsidR="00894E55" w:rsidRPr="009927E1">
        <w:rPr>
          <w:rFonts w:ascii="Times New Roman" w:hAnsi="Times New Roman" w:cs="Times New Roman"/>
          <w:color w:val="000000"/>
          <w:sz w:val="24"/>
          <w:szCs w:val="24"/>
          <w:lang w:val="en-GB"/>
        </w:rPr>
        <w:t xml:space="preserve"> will not change the performance of that local authorities. The available data show that is necessary a change in the economic environment of that area</w:t>
      </w:r>
      <w:r w:rsidR="0093378A" w:rsidRPr="009927E1">
        <w:rPr>
          <w:rFonts w:ascii="Times New Roman" w:hAnsi="Times New Roman" w:cs="Times New Roman"/>
          <w:color w:val="000000"/>
          <w:sz w:val="24"/>
          <w:szCs w:val="24"/>
          <w:lang w:val="en-GB"/>
        </w:rPr>
        <w:t xml:space="preserve">s </w:t>
      </w:r>
      <w:r w:rsidR="00F655B5">
        <w:rPr>
          <w:rFonts w:ascii="Times New Roman" w:hAnsi="Times New Roman" w:cs="Times New Roman"/>
          <w:color w:val="000000"/>
          <w:sz w:val="24"/>
          <w:szCs w:val="24"/>
          <w:lang w:val="en-GB"/>
        </w:rPr>
        <w:t>to</w:t>
      </w:r>
      <w:r w:rsidR="00894E55" w:rsidRPr="009927E1">
        <w:rPr>
          <w:rFonts w:ascii="Times New Roman" w:hAnsi="Times New Roman" w:cs="Times New Roman"/>
          <w:color w:val="000000"/>
          <w:sz w:val="24"/>
          <w:szCs w:val="24"/>
          <w:lang w:val="en-GB"/>
        </w:rPr>
        <w:t xml:space="preserve"> offer new job opportunities, reduce the migration and ageing trends, and determine new source of income that will positively affect the performance at the local level.</w:t>
      </w:r>
    </w:p>
    <w:p w14:paraId="71DA5199" w14:textId="1EA639AB" w:rsidR="00894E55" w:rsidRDefault="00894E55" w:rsidP="00A15BDB">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More than that, we should be aware that bigger municipalities will not have more money, but they will have more expenses to make; the surface of bigger municipalities will mean a larger territory to manage</w:t>
      </w:r>
      <w:r w:rsidR="0093378A" w:rsidRPr="009927E1">
        <w:rPr>
          <w:rFonts w:ascii="Times New Roman" w:hAnsi="Times New Roman" w:cs="Times New Roman"/>
          <w:color w:val="000000"/>
          <w:sz w:val="24"/>
          <w:szCs w:val="24"/>
          <w:lang w:val="en-GB"/>
        </w:rPr>
        <w:t>;</w:t>
      </w:r>
      <w:r w:rsidRPr="009927E1">
        <w:rPr>
          <w:rFonts w:ascii="Times New Roman" w:hAnsi="Times New Roman" w:cs="Times New Roman"/>
          <w:color w:val="000000"/>
          <w:sz w:val="24"/>
          <w:szCs w:val="24"/>
          <w:lang w:val="en-GB"/>
        </w:rPr>
        <w:t xml:space="preserve"> that means</w:t>
      </w:r>
      <w:r w:rsidR="0093378A" w:rsidRPr="009927E1">
        <w:rPr>
          <w:rFonts w:ascii="Times New Roman" w:hAnsi="Times New Roman" w:cs="Times New Roman"/>
          <w:color w:val="000000"/>
          <w:sz w:val="24"/>
          <w:szCs w:val="24"/>
          <w:lang w:val="en-GB"/>
        </w:rPr>
        <w:t xml:space="preserve"> additional</w:t>
      </w:r>
      <w:r w:rsidRPr="009927E1">
        <w:rPr>
          <w:rFonts w:ascii="Times New Roman" w:hAnsi="Times New Roman" w:cs="Times New Roman"/>
          <w:color w:val="000000"/>
          <w:sz w:val="24"/>
          <w:szCs w:val="24"/>
          <w:lang w:val="en-GB"/>
        </w:rPr>
        <w:t xml:space="preserve"> costs</w:t>
      </w:r>
      <w:r w:rsidR="0093378A" w:rsidRPr="009927E1">
        <w:rPr>
          <w:rFonts w:ascii="Times New Roman" w:hAnsi="Times New Roman" w:cs="Times New Roman"/>
          <w:color w:val="000000"/>
          <w:sz w:val="24"/>
          <w:szCs w:val="24"/>
          <w:lang w:val="en-GB"/>
        </w:rPr>
        <w:t xml:space="preserve"> related to distance</w:t>
      </w:r>
      <w:r w:rsidRPr="009927E1">
        <w:rPr>
          <w:rFonts w:ascii="Times New Roman" w:hAnsi="Times New Roman" w:cs="Times New Roman"/>
          <w:color w:val="000000"/>
          <w:sz w:val="24"/>
          <w:szCs w:val="24"/>
          <w:lang w:val="en-GB"/>
        </w:rPr>
        <w:t>. That cost</w:t>
      </w:r>
      <w:r w:rsidR="0093378A" w:rsidRPr="009927E1">
        <w:rPr>
          <w:rFonts w:ascii="Times New Roman" w:hAnsi="Times New Roman" w:cs="Times New Roman"/>
          <w:color w:val="000000"/>
          <w:sz w:val="24"/>
          <w:szCs w:val="24"/>
          <w:lang w:val="en-GB"/>
        </w:rPr>
        <w:t>s</w:t>
      </w:r>
      <w:r w:rsidRPr="009927E1">
        <w:rPr>
          <w:rFonts w:ascii="Times New Roman" w:hAnsi="Times New Roman" w:cs="Times New Roman"/>
          <w:color w:val="000000"/>
          <w:sz w:val="24"/>
          <w:szCs w:val="24"/>
          <w:lang w:val="en-GB"/>
        </w:rPr>
        <w:t xml:space="preserve"> will be supported by local population or by transfers</w:t>
      </w:r>
      <w:r w:rsidR="0093378A" w:rsidRPr="009927E1">
        <w:rPr>
          <w:rFonts w:ascii="Times New Roman" w:hAnsi="Times New Roman" w:cs="Times New Roman"/>
          <w:color w:val="000000"/>
          <w:sz w:val="24"/>
          <w:szCs w:val="24"/>
          <w:lang w:val="en-GB"/>
        </w:rPr>
        <w:t xml:space="preserve"> from central level</w:t>
      </w:r>
      <w:r w:rsidRPr="009927E1">
        <w:rPr>
          <w:rFonts w:ascii="Times New Roman" w:hAnsi="Times New Roman" w:cs="Times New Roman"/>
          <w:color w:val="000000"/>
          <w:sz w:val="24"/>
          <w:szCs w:val="24"/>
          <w:lang w:val="en-GB"/>
        </w:rPr>
        <w:t>, that means</w:t>
      </w:r>
      <w:r w:rsidR="0093378A" w:rsidRPr="009927E1">
        <w:rPr>
          <w:rFonts w:ascii="Times New Roman" w:hAnsi="Times New Roman" w:cs="Times New Roman"/>
          <w:color w:val="000000"/>
          <w:sz w:val="24"/>
          <w:szCs w:val="24"/>
          <w:lang w:val="en-GB"/>
        </w:rPr>
        <w:t xml:space="preserve"> </w:t>
      </w:r>
      <w:r w:rsidRPr="009927E1">
        <w:rPr>
          <w:rFonts w:ascii="Times New Roman" w:hAnsi="Times New Roman" w:cs="Times New Roman"/>
          <w:color w:val="000000"/>
          <w:sz w:val="24"/>
          <w:szCs w:val="24"/>
          <w:lang w:val="en-GB"/>
        </w:rPr>
        <w:t>the situation will not differ from today.</w:t>
      </w:r>
    </w:p>
    <w:p w14:paraId="37D35132" w14:textId="3F1ABD20" w:rsidR="0046564E" w:rsidRPr="009927E1" w:rsidRDefault="0046564E" w:rsidP="0046564E">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 xml:space="preserve">Analysis of OECD (2017:70) on the municipal reforms of some countries (Greece, Ireland, France), showed that they kept the former municipal administration as a sub-municipal </w:t>
      </w:r>
      <w:r w:rsidRPr="009927E1">
        <w:rPr>
          <w:rFonts w:ascii="Times New Roman" w:hAnsi="Times New Roman" w:cs="Times New Roman"/>
          <w:color w:val="000000"/>
          <w:sz w:val="24"/>
          <w:szCs w:val="24"/>
          <w:lang w:val="en-GB"/>
        </w:rPr>
        <w:lastRenderedPageBreak/>
        <w:t xml:space="preserve">structure. This strategy is thought to counterpart the increase in the municipal size, to overcome critics related to lose of identity and proximity to the citizens and to gain population and local representatives support or acceptance. These sub-municipal entities have a legal status with a deliberative body, a delegated executive body (mayor, council) elected by the population, an independent budget, consultative committees, e-government, one-stop shop, municipal Ombudsman, etc. The main problem for this kind of territorial reforms is the costs of the </w:t>
      </w:r>
      <w:r w:rsidRPr="009927E1">
        <w:rPr>
          <w:rFonts w:ascii="Times New Roman" w:hAnsi="Times New Roman" w:cs="Times New Roman"/>
          <w:color w:val="000000"/>
          <w:sz w:val="24"/>
          <w:szCs w:val="24"/>
          <w:lang w:val="en-GB"/>
        </w:rPr>
        <w:t>reform</w:t>
      </w:r>
      <w:r>
        <w:rPr>
          <w:rFonts w:ascii="Times New Roman" w:hAnsi="Times New Roman" w:cs="Times New Roman"/>
          <w:color w:val="000000"/>
          <w:sz w:val="24"/>
          <w:szCs w:val="24"/>
          <w:lang w:val="en-GB"/>
        </w:rPr>
        <w:t>, having</w:t>
      </w:r>
      <w:r w:rsidRPr="009927E1">
        <w:rPr>
          <w:rFonts w:ascii="Times New Roman" w:hAnsi="Times New Roman" w:cs="Times New Roman"/>
          <w:color w:val="000000"/>
          <w:sz w:val="24"/>
          <w:szCs w:val="24"/>
          <w:lang w:val="en-GB"/>
        </w:rPr>
        <w:t xml:space="preserve"> too many local institutions, high</w:t>
      </w:r>
      <w:r>
        <w:rPr>
          <w:rFonts w:ascii="Times New Roman" w:hAnsi="Times New Roman" w:cs="Times New Roman"/>
          <w:color w:val="000000"/>
          <w:sz w:val="24"/>
          <w:szCs w:val="24"/>
          <w:lang w:val="en-GB"/>
        </w:rPr>
        <w:t>er</w:t>
      </w:r>
      <w:r w:rsidRPr="009927E1">
        <w:rPr>
          <w:rFonts w:ascii="Times New Roman" w:hAnsi="Times New Roman" w:cs="Times New Roman"/>
          <w:color w:val="000000"/>
          <w:sz w:val="24"/>
          <w:szCs w:val="24"/>
          <w:lang w:val="en-GB"/>
        </w:rPr>
        <w:t xml:space="preserve"> costs, bureaucracy and overlapping.</w:t>
      </w:r>
    </w:p>
    <w:p w14:paraId="2120B94C" w14:textId="5D0B4BB3" w:rsidR="00A85473" w:rsidRDefault="00A85473" w:rsidP="00A85473">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lang w:val="en-GB"/>
        </w:rPr>
      </w:pPr>
      <w:r w:rsidRPr="009927E1">
        <w:rPr>
          <w:rFonts w:ascii="Times New Roman" w:hAnsi="Times New Roman" w:cs="Times New Roman"/>
          <w:color w:val="000000"/>
          <w:sz w:val="24"/>
          <w:szCs w:val="24"/>
          <w:lang w:val="en-GB"/>
        </w:rPr>
        <w:t>The arguments in favour of up</w:t>
      </w:r>
      <w:r w:rsidR="0046564E">
        <w:rPr>
          <w:rFonts w:ascii="Times New Roman" w:hAnsi="Times New Roman" w:cs="Times New Roman"/>
          <w:color w:val="000000"/>
          <w:sz w:val="24"/>
          <w:szCs w:val="24"/>
          <w:lang w:val="en-GB"/>
        </w:rPr>
        <w:t>-</w:t>
      </w:r>
      <w:r w:rsidRPr="009927E1">
        <w:rPr>
          <w:rFonts w:ascii="Times New Roman" w:hAnsi="Times New Roman" w:cs="Times New Roman"/>
          <w:color w:val="000000"/>
          <w:sz w:val="24"/>
          <w:szCs w:val="24"/>
          <w:lang w:val="en-GB"/>
        </w:rPr>
        <w:t xml:space="preserve">scaling </w:t>
      </w:r>
      <w:r w:rsidR="007D0C38" w:rsidRPr="009927E1">
        <w:rPr>
          <w:rFonts w:ascii="Times New Roman" w:hAnsi="Times New Roman" w:cs="Times New Roman"/>
          <w:color w:val="000000"/>
          <w:sz w:val="24"/>
          <w:szCs w:val="24"/>
          <w:lang w:val="en-GB"/>
        </w:rPr>
        <w:t>have been</w:t>
      </w:r>
      <w:r w:rsidRPr="009927E1">
        <w:rPr>
          <w:rFonts w:ascii="Times New Roman" w:hAnsi="Times New Roman" w:cs="Times New Roman"/>
          <w:color w:val="000000"/>
          <w:sz w:val="24"/>
          <w:szCs w:val="24"/>
          <w:lang w:val="en-GB"/>
        </w:rPr>
        <w:t xml:space="preserve"> put under question</w:t>
      </w:r>
      <w:r w:rsidR="007D0C38" w:rsidRPr="009927E1">
        <w:rPr>
          <w:rFonts w:ascii="Times New Roman" w:hAnsi="Times New Roman" w:cs="Times New Roman"/>
          <w:color w:val="000000"/>
          <w:sz w:val="24"/>
          <w:szCs w:val="24"/>
          <w:lang w:val="en-GB"/>
        </w:rPr>
        <w:t xml:space="preserve"> lately</w:t>
      </w:r>
      <w:r w:rsidRPr="009927E1">
        <w:rPr>
          <w:rFonts w:ascii="Times New Roman" w:hAnsi="Times New Roman" w:cs="Times New Roman"/>
          <w:color w:val="000000"/>
          <w:sz w:val="24"/>
          <w:szCs w:val="24"/>
          <w:lang w:val="en-GB"/>
        </w:rPr>
        <w:t xml:space="preserve">, considering the experience from different countries with territorial reforms. The expected positive benefits did not always materialise, economies of scale being inconclusive. There </w:t>
      </w:r>
      <w:r w:rsidR="001C67E3" w:rsidRPr="009927E1">
        <w:rPr>
          <w:rFonts w:ascii="Times New Roman" w:hAnsi="Times New Roman" w:cs="Times New Roman"/>
          <w:color w:val="000000"/>
          <w:sz w:val="24"/>
          <w:szCs w:val="24"/>
          <w:lang w:val="en-GB"/>
        </w:rPr>
        <w:t>is</w:t>
      </w:r>
      <w:r w:rsidRPr="009927E1">
        <w:rPr>
          <w:rFonts w:ascii="Times New Roman" w:hAnsi="Times New Roman" w:cs="Times New Roman"/>
          <w:color w:val="000000"/>
          <w:sz w:val="24"/>
          <w:szCs w:val="24"/>
          <w:lang w:val="en-GB"/>
        </w:rPr>
        <w:t xml:space="preserve"> not clear evidence that the economies of scale will always appear; on the contrary, studies show</w:t>
      </w:r>
      <w:r w:rsidR="0093378A" w:rsidRPr="009927E1">
        <w:rPr>
          <w:rFonts w:ascii="Times New Roman" w:hAnsi="Times New Roman" w:cs="Times New Roman"/>
          <w:color w:val="000000"/>
          <w:sz w:val="24"/>
          <w:szCs w:val="24"/>
          <w:lang w:val="en-GB"/>
        </w:rPr>
        <w:t>ed</w:t>
      </w:r>
      <w:r w:rsidRPr="009927E1">
        <w:rPr>
          <w:rFonts w:ascii="Times New Roman" w:hAnsi="Times New Roman" w:cs="Times New Roman"/>
          <w:color w:val="000000"/>
          <w:sz w:val="24"/>
          <w:szCs w:val="24"/>
          <w:lang w:val="en-GB"/>
        </w:rPr>
        <w:t xml:space="preserve"> that the results are incongruent, and the results tend to be related to better quality of services, than lower costs.</w:t>
      </w:r>
    </w:p>
    <w:p w14:paraId="622E4644" w14:textId="77777777" w:rsidR="0093378A" w:rsidRPr="009927E1" w:rsidRDefault="0093378A" w:rsidP="004B7962">
      <w:pPr>
        <w:suppressAutoHyphens/>
        <w:autoSpaceDE w:val="0"/>
        <w:autoSpaceDN w:val="0"/>
        <w:adjustRightInd w:val="0"/>
        <w:spacing w:after="0" w:line="240" w:lineRule="auto"/>
        <w:jc w:val="both"/>
        <w:textAlignment w:val="center"/>
        <w:rPr>
          <w:rFonts w:ascii="Times New Roman" w:hAnsi="Times New Roman" w:cs="Times New Roman"/>
          <w:b/>
          <w:bCs/>
          <w:color w:val="000000"/>
          <w:sz w:val="20"/>
          <w:szCs w:val="20"/>
          <w:lang w:val="en-GB"/>
        </w:rPr>
      </w:pPr>
    </w:p>
    <w:p w14:paraId="03B1D220" w14:textId="2F1F6339" w:rsidR="0047072F" w:rsidRPr="009927E1" w:rsidRDefault="00D74EC6" w:rsidP="004B7962">
      <w:pPr>
        <w:suppressAutoHyphens/>
        <w:autoSpaceDE w:val="0"/>
        <w:autoSpaceDN w:val="0"/>
        <w:adjustRightInd w:val="0"/>
        <w:spacing w:after="0" w:line="240" w:lineRule="auto"/>
        <w:jc w:val="both"/>
        <w:textAlignment w:val="center"/>
        <w:rPr>
          <w:rFonts w:ascii="Times New Roman" w:hAnsi="Times New Roman" w:cs="Times New Roman"/>
          <w:b/>
          <w:bCs/>
          <w:color w:val="000000"/>
          <w:sz w:val="20"/>
          <w:szCs w:val="20"/>
          <w:lang w:val="en-GB"/>
        </w:rPr>
      </w:pPr>
      <w:r w:rsidRPr="009927E1">
        <w:rPr>
          <w:rFonts w:ascii="Times New Roman" w:hAnsi="Times New Roman" w:cs="Times New Roman"/>
          <w:b/>
          <w:bCs/>
          <w:color w:val="000000"/>
          <w:sz w:val="20"/>
          <w:szCs w:val="20"/>
          <w:lang w:val="en-GB"/>
        </w:rPr>
        <w:t>Literature</w:t>
      </w:r>
    </w:p>
    <w:p w14:paraId="149B74A3" w14:textId="06B5F870" w:rsidR="008C515C" w:rsidRPr="009927E1" w:rsidRDefault="008C515C" w:rsidP="004B7962">
      <w:pPr>
        <w:pStyle w:val="Listparagraf"/>
        <w:numPr>
          <w:ilvl w:val="0"/>
          <w:numId w:val="1"/>
        </w:numPr>
        <w:spacing w:line="240" w:lineRule="auto"/>
        <w:jc w:val="both"/>
        <w:rPr>
          <w:rFonts w:ascii="Times New Roman" w:hAnsi="Times New Roman" w:cs="Times New Roman"/>
          <w:color w:val="000000"/>
          <w:sz w:val="20"/>
          <w:szCs w:val="20"/>
          <w:lang w:val="en-GB"/>
        </w:rPr>
      </w:pPr>
      <w:bookmarkStart w:id="6" w:name="_Hlk160354287"/>
      <w:r w:rsidRPr="009927E1">
        <w:rPr>
          <w:rFonts w:ascii="Times New Roman" w:hAnsi="Times New Roman" w:cs="Times New Roman"/>
          <w:sz w:val="20"/>
          <w:szCs w:val="20"/>
          <w:lang w:val="en-GB"/>
        </w:rPr>
        <w:t xml:space="preserve">Baldersheim Harald and </w:t>
      </w:r>
      <w:r w:rsidR="00A245BC" w:rsidRPr="009927E1">
        <w:rPr>
          <w:rFonts w:ascii="Times New Roman" w:hAnsi="Times New Roman" w:cs="Times New Roman"/>
          <w:sz w:val="20"/>
          <w:szCs w:val="20"/>
          <w:lang w:val="en-GB"/>
        </w:rPr>
        <w:t xml:space="preserve">Rose </w:t>
      </w:r>
      <w:r w:rsidRPr="009927E1">
        <w:rPr>
          <w:rFonts w:ascii="Times New Roman" w:hAnsi="Times New Roman" w:cs="Times New Roman"/>
          <w:sz w:val="20"/>
          <w:szCs w:val="20"/>
          <w:lang w:val="en-GB"/>
        </w:rPr>
        <w:t xml:space="preserve">Lawrence E. </w:t>
      </w:r>
      <w:r w:rsidR="00A245BC" w:rsidRPr="009927E1">
        <w:rPr>
          <w:rFonts w:ascii="Times New Roman" w:hAnsi="Times New Roman" w:cs="Times New Roman"/>
          <w:sz w:val="20"/>
          <w:szCs w:val="20"/>
          <w:lang w:val="en-GB"/>
        </w:rPr>
        <w:t xml:space="preserve">(2010): Territorial </w:t>
      </w:r>
      <w:r w:rsidR="00A245BC" w:rsidRPr="009927E1">
        <w:rPr>
          <w:rFonts w:ascii="Times New Roman" w:hAnsi="Times New Roman" w:cs="Times New Roman"/>
          <w:color w:val="000000"/>
          <w:sz w:val="20"/>
          <w:szCs w:val="20"/>
          <w:lang w:val="en-GB"/>
        </w:rPr>
        <w:t>Choice: Rescaling Governance in European States. In Baldersheim Harald and Rose Lawrence E. (eds.): Territorial Choice: The Politics of Boundaries and Borders. Basingstoke: Palgrave Macmillan, 1-20.</w:t>
      </w:r>
    </w:p>
    <w:bookmarkEnd w:id="6"/>
    <w:p w14:paraId="25B338F8" w14:textId="6020771B" w:rsidR="00622DE3" w:rsidRPr="009927E1" w:rsidRDefault="00622DE3" w:rsidP="004B7962">
      <w:pPr>
        <w:pStyle w:val="Listparagraf"/>
        <w:numPr>
          <w:ilvl w:val="0"/>
          <w:numId w:val="1"/>
        </w:numPr>
        <w:spacing w:line="240" w:lineRule="auto"/>
        <w:jc w:val="both"/>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Blom-Hansen Jens (2010): Municipal Amalgamations and Common Pool Problems: The Danish Local Government Reform in 2007. Scandinavian Political Studies, 33 (1): 51-73.</w:t>
      </w:r>
    </w:p>
    <w:p w14:paraId="309AAA80" w14:textId="71A4862C" w:rsidR="003A040C" w:rsidRPr="009927E1" w:rsidRDefault="003A040C" w:rsidP="004B7962">
      <w:pPr>
        <w:pStyle w:val="Listparagraf"/>
        <w:numPr>
          <w:ilvl w:val="0"/>
          <w:numId w:val="1"/>
        </w:numPr>
        <w:spacing w:line="240" w:lineRule="auto"/>
        <w:jc w:val="both"/>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 xml:space="preserve">Blom-Hansen Jens, Houlberg Kurt, Serritzlew Søren and Treisman Daniel (2016): Jurisdiction Size and Local Government Policy Expenditure: Assessing the Effect of Municipal Amalgamation. American Political Science Review, </w:t>
      </w:r>
      <w:r w:rsidR="002E27EC" w:rsidRPr="009927E1">
        <w:rPr>
          <w:rFonts w:ascii="Times New Roman" w:hAnsi="Times New Roman" w:cs="Times New Roman"/>
          <w:color w:val="000000"/>
          <w:sz w:val="20"/>
          <w:szCs w:val="20"/>
          <w:lang w:val="en-GB"/>
        </w:rPr>
        <w:t>110 (4)</w:t>
      </w:r>
      <w:r w:rsidR="00B44413" w:rsidRPr="009927E1">
        <w:rPr>
          <w:rFonts w:ascii="Times New Roman" w:hAnsi="Times New Roman" w:cs="Times New Roman"/>
          <w:color w:val="000000"/>
          <w:sz w:val="20"/>
          <w:szCs w:val="20"/>
          <w:lang w:val="en-GB"/>
        </w:rPr>
        <w:t xml:space="preserve">: </w:t>
      </w:r>
      <w:r w:rsidR="002E27EC" w:rsidRPr="009927E1">
        <w:rPr>
          <w:rFonts w:ascii="Times New Roman" w:hAnsi="Times New Roman" w:cs="Times New Roman"/>
          <w:color w:val="000000"/>
          <w:sz w:val="20"/>
          <w:szCs w:val="20"/>
          <w:lang w:val="en-GB"/>
        </w:rPr>
        <w:t>8</w:t>
      </w:r>
      <w:r w:rsidR="00B44413" w:rsidRPr="009927E1">
        <w:rPr>
          <w:rFonts w:ascii="Times New Roman" w:hAnsi="Times New Roman" w:cs="Times New Roman"/>
          <w:color w:val="000000"/>
          <w:sz w:val="20"/>
          <w:szCs w:val="20"/>
          <w:lang w:val="en-GB"/>
        </w:rPr>
        <w:t>1</w:t>
      </w:r>
      <w:r w:rsidR="002E27EC" w:rsidRPr="009927E1">
        <w:rPr>
          <w:rFonts w:ascii="Times New Roman" w:hAnsi="Times New Roman" w:cs="Times New Roman"/>
          <w:color w:val="000000"/>
          <w:sz w:val="20"/>
          <w:szCs w:val="20"/>
          <w:lang w:val="en-GB"/>
        </w:rPr>
        <w:t>2</w:t>
      </w:r>
      <w:r w:rsidR="00B44413" w:rsidRPr="009927E1">
        <w:rPr>
          <w:rFonts w:ascii="Times New Roman" w:hAnsi="Times New Roman" w:cs="Times New Roman"/>
          <w:color w:val="000000"/>
          <w:sz w:val="20"/>
          <w:szCs w:val="20"/>
          <w:lang w:val="en-GB"/>
        </w:rPr>
        <w:t>-</w:t>
      </w:r>
      <w:r w:rsidR="002E27EC" w:rsidRPr="009927E1">
        <w:rPr>
          <w:rFonts w:ascii="Times New Roman" w:hAnsi="Times New Roman" w:cs="Times New Roman"/>
          <w:color w:val="000000"/>
          <w:sz w:val="20"/>
          <w:szCs w:val="20"/>
          <w:lang w:val="en-GB"/>
        </w:rPr>
        <w:t>831</w:t>
      </w:r>
      <w:r w:rsidR="00B44413" w:rsidRPr="009927E1">
        <w:rPr>
          <w:rFonts w:ascii="Times New Roman" w:hAnsi="Times New Roman" w:cs="Times New Roman"/>
          <w:color w:val="000000"/>
          <w:sz w:val="20"/>
          <w:szCs w:val="20"/>
          <w:lang w:val="en-GB"/>
        </w:rPr>
        <w:t>.</w:t>
      </w:r>
    </w:p>
    <w:p w14:paraId="77143ACB" w14:textId="21CE295C" w:rsidR="006B080E" w:rsidRPr="009927E1" w:rsidRDefault="006B080E"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Boyne George (1995): Population size and economies of scale in local government.</w:t>
      </w:r>
      <w:r w:rsidR="00D51E14" w:rsidRPr="009927E1">
        <w:rPr>
          <w:rFonts w:ascii="Times New Roman" w:hAnsi="Times New Roman" w:cs="Times New Roman"/>
          <w:color w:val="000000"/>
          <w:sz w:val="20"/>
          <w:szCs w:val="20"/>
          <w:lang w:val="en-GB"/>
        </w:rPr>
        <w:t xml:space="preserve"> </w:t>
      </w:r>
      <w:r w:rsidRPr="009927E1">
        <w:rPr>
          <w:rFonts w:ascii="Times New Roman" w:hAnsi="Times New Roman" w:cs="Times New Roman"/>
          <w:color w:val="000000"/>
          <w:sz w:val="20"/>
          <w:szCs w:val="20"/>
          <w:lang w:val="en-GB"/>
        </w:rPr>
        <w:t>Policy and Politics, 23 (3): 213-222.</w:t>
      </w:r>
    </w:p>
    <w:p w14:paraId="57D6DA68" w14:textId="07113A1A" w:rsidR="0047072F" w:rsidRPr="009927E1" w:rsidRDefault="00D74EC6"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 xml:space="preserve">Dahl Robert A. and Tufte Edward R. (1973): Size and </w:t>
      </w:r>
      <w:r w:rsidR="00B64334" w:rsidRPr="009927E1">
        <w:rPr>
          <w:rFonts w:ascii="Times New Roman" w:hAnsi="Times New Roman" w:cs="Times New Roman"/>
          <w:color w:val="000000"/>
          <w:sz w:val="20"/>
          <w:szCs w:val="20"/>
          <w:lang w:val="en-GB"/>
        </w:rPr>
        <w:t>D</w:t>
      </w:r>
      <w:r w:rsidRPr="009927E1">
        <w:rPr>
          <w:rFonts w:ascii="Times New Roman" w:hAnsi="Times New Roman" w:cs="Times New Roman"/>
          <w:color w:val="000000"/>
          <w:sz w:val="20"/>
          <w:szCs w:val="20"/>
          <w:lang w:val="en-GB"/>
        </w:rPr>
        <w:t>emocracy. Stanford: Stanford University Press.</w:t>
      </w:r>
    </w:p>
    <w:p w14:paraId="0A23D764" w14:textId="2EB18B42" w:rsidR="0069569D" w:rsidRPr="009927E1" w:rsidRDefault="0069569D"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Hlepas Nikolaos-K. (2010): Incomplete Greek Territorial Consolidation: From the First (1998) to the Second (2008-09) Wave of Reform. Local Government Studies, 36 (2): 223-249.</w:t>
      </w:r>
    </w:p>
    <w:p w14:paraId="4E1354C5" w14:textId="42D39173" w:rsidR="006D3F09" w:rsidRPr="009927E1" w:rsidRDefault="006D3F09"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Ilyniak Sophia (2024): Decentralization in Ukraine: Reorganizing Core-Periphery Relations?. Urban Planning, 9: in progress.</w:t>
      </w:r>
    </w:p>
    <w:p w14:paraId="38FEA0F7" w14:textId="55D5512D" w:rsidR="00172532" w:rsidRPr="009927E1" w:rsidRDefault="00172532"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Illner Michal (2007): Territorial Decentralization - A Stumbling Block of Democratic Reforms in East-Central Europe. Polish Sociological Review, 1 (117): 23-45.</w:t>
      </w:r>
    </w:p>
    <w:p w14:paraId="3D5BA103" w14:textId="0165F04E" w:rsidR="00320716" w:rsidRPr="009927E1" w:rsidRDefault="00320716"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OECD (2014): OECD Territorial Reviews: Netherlands 2014. Paris: OECD Publishing.</w:t>
      </w:r>
    </w:p>
    <w:p w14:paraId="48EC628C" w14:textId="0D0C39CB" w:rsidR="00EF7A52" w:rsidRPr="009927E1" w:rsidRDefault="00EF7A52"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OECD (2017): Multi-level Governance Reforms: Overview of OECD Country Experiences</w:t>
      </w:r>
      <w:r w:rsidR="00A652A6" w:rsidRPr="009927E1">
        <w:rPr>
          <w:rFonts w:ascii="Times New Roman" w:hAnsi="Times New Roman" w:cs="Times New Roman"/>
          <w:color w:val="000000"/>
          <w:sz w:val="20"/>
          <w:szCs w:val="20"/>
          <w:lang w:val="en-GB"/>
        </w:rPr>
        <w:t>. Paris: OECD Publishing.</w:t>
      </w:r>
    </w:p>
    <w:p w14:paraId="06CA2705" w14:textId="2D8BC126" w:rsidR="003D2E7E" w:rsidRPr="009927E1" w:rsidRDefault="003D2E7E"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Swianiewicz Paweł and Herbst M</w:t>
      </w:r>
      <w:r w:rsidR="00FF2D60" w:rsidRPr="009927E1">
        <w:rPr>
          <w:rFonts w:ascii="Times New Roman" w:hAnsi="Times New Roman" w:cs="Times New Roman"/>
          <w:color w:val="000000"/>
          <w:sz w:val="20"/>
          <w:szCs w:val="20"/>
          <w:lang w:val="en-GB"/>
        </w:rPr>
        <w:t>ikołaj</w:t>
      </w:r>
      <w:r w:rsidRPr="009927E1">
        <w:rPr>
          <w:rFonts w:ascii="Times New Roman" w:hAnsi="Times New Roman" w:cs="Times New Roman"/>
          <w:color w:val="000000"/>
          <w:sz w:val="20"/>
          <w:szCs w:val="20"/>
          <w:lang w:val="en-GB"/>
        </w:rPr>
        <w:t xml:space="preserve"> (2002): Economies and Diseconomies of Scale in Polish Local </w:t>
      </w:r>
      <w:r w:rsidR="005A0A81" w:rsidRPr="009927E1">
        <w:rPr>
          <w:rFonts w:ascii="Times New Roman" w:hAnsi="Times New Roman" w:cs="Times New Roman"/>
          <w:color w:val="000000"/>
          <w:sz w:val="20"/>
          <w:szCs w:val="20"/>
          <w:lang w:val="en-GB"/>
        </w:rPr>
        <w:t>Governments</w:t>
      </w:r>
      <w:r w:rsidRPr="009927E1">
        <w:rPr>
          <w:rFonts w:ascii="Times New Roman" w:hAnsi="Times New Roman" w:cs="Times New Roman"/>
          <w:color w:val="000000"/>
          <w:sz w:val="20"/>
          <w:szCs w:val="20"/>
          <w:lang w:val="en-GB"/>
        </w:rPr>
        <w:t>. In Swianiewicz Paweł (ed.): Consolidation or Fragmentation? The size of Local Governments in Central and Eastern Europe. Budapest: Open Society Institute, 219-292.</w:t>
      </w:r>
    </w:p>
    <w:p w14:paraId="50263A28" w14:textId="6C1845A1" w:rsidR="00976A8C" w:rsidRPr="009927E1" w:rsidRDefault="00976A8C"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Swianiewicz Paweł (2006): Poland and Ukraine: Contrasting Paths of Decentralization and Territorial Reform. Local Government Studies, 32 (5): 599-622.</w:t>
      </w:r>
    </w:p>
    <w:p w14:paraId="6B98B641" w14:textId="76A81DF3" w:rsidR="001C2DDF" w:rsidRPr="009927E1" w:rsidRDefault="001C2DDF"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bookmarkStart w:id="7" w:name="_Hlk161744312"/>
      <w:r w:rsidRPr="009927E1">
        <w:rPr>
          <w:rFonts w:ascii="Times New Roman" w:hAnsi="Times New Roman" w:cs="Times New Roman"/>
          <w:color w:val="000000"/>
          <w:sz w:val="20"/>
          <w:szCs w:val="20"/>
          <w:lang w:val="en-GB"/>
        </w:rPr>
        <w:t>Swianiewicz Paweł (2010a):</w:t>
      </w:r>
      <w:bookmarkEnd w:id="7"/>
      <w:r w:rsidRPr="009927E1">
        <w:rPr>
          <w:rFonts w:ascii="Times New Roman" w:hAnsi="Times New Roman" w:cs="Times New Roman"/>
          <w:color w:val="000000"/>
          <w:sz w:val="20"/>
          <w:szCs w:val="20"/>
          <w:lang w:val="en-GB"/>
        </w:rPr>
        <w:t xml:space="preserve"> If Territorial Fragmentation is a Problem, is Amalgamation a Solution? An East European Perspective. Local Government Studies, 36 (2): 183-203.</w:t>
      </w:r>
    </w:p>
    <w:p w14:paraId="1D9E130F" w14:textId="2A91E4A5" w:rsidR="00F621D6" w:rsidRPr="009927E1" w:rsidRDefault="00F621D6"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bookmarkStart w:id="8" w:name="_Hlk161308738"/>
      <w:r w:rsidRPr="009927E1">
        <w:rPr>
          <w:rFonts w:ascii="Times New Roman" w:hAnsi="Times New Roman" w:cs="Times New Roman"/>
          <w:color w:val="000000"/>
          <w:sz w:val="20"/>
          <w:szCs w:val="20"/>
          <w:lang w:val="en-GB"/>
        </w:rPr>
        <w:t>Swianiewicz Paweł</w:t>
      </w:r>
      <w:bookmarkEnd w:id="8"/>
      <w:r w:rsidRPr="009927E1">
        <w:rPr>
          <w:rFonts w:ascii="Times New Roman" w:hAnsi="Times New Roman" w:cs="Times New Roman"/>
          <w:color w:val="000000"/>
          <w:sz w:val="20"/>
          <w:szCs w:val="20"/>
          <w:lang w:val="en-GB"/>
        </w:rPr>
        <w:t xml:space="preserve"> (2010</w:t>
      </w:r>
      <w:r w:rsidR="001C2DDF" w:rsidRPr="009927E1">
        <w:rPr>
          <w:rFonts w:ascii="Times New Roman" w:hAnsi="Times New Roman" w:cs="Times New Roman"/>
          <w:color w:val="000000"/>
          <w:sz w:val="20"/>
          <w:szCs w:val="20"/>
          <w:lang w:val="en-GB"/>
        </w:rPr>
        <w:t>b</w:t>
      </w:r>
      <w:r w:rsidRPr="009927E1">
        <w:rPr>
          <w:rFonts w:ascii="Times New Roman" w:hAnsi="Times New Roman" w:cs="Times New Roman"/>
          <w:color w:val="000000"/>
          <w:sz w:val="20"/>
          <w:szCs w:val="20"/>
          <w:lang w:val="en-GB"/>
        </w:rPr>
        <w:t>): Territorial Fragmentation As a Problem, Consolidation As a Solution?. In Swianiewicz Paweł (ed.): Territorial Consolidation Reforms in Europe. Budapest: Open Society Institute, 1-23.</w:t>
      </w:r>
    </w:p>
    <w:p w14:paraId="1B1FA3A2" w14:textId="52551BD7" w:rsidR="00775A72" w:rsidRPr="009927E1" w:rsidRDefault="00775A72" w:rsidP="004B7962">
      <w:pPr>
        <w:pStyle w:val="Listparagraf"/>
        <w:numPr>
          <w:ilvl w:val="0"/>
          <w:numId w:val="1"/>
        </w:numPr>
        <w:autoSpaceDE w:val="0"/>
        <w:autoSpaceDN w:val="0"/>
        <w:adjustRightInd w:val="0"/>
        <w:spacing w:before="113" w:after="0" w:line="240" w:lineRule="auto"/>
        <w:jc w:val="both"/>
        <w:textAlignment w:val="center"/>
        <w:rPr>
          <w:rFonts w:ascii="Times New Roman" w:hAnsi="Times New Roman" w:cs="Times New Roman"/>
          <w:color w:val="000000"/>
          <w:sz w:val="20"/>
          <w:szCs w:val="20"/>
          <w:lang w:val="en-GB"/>
        </w:rPr>
      </w:pPr>
      <w:r w:rsidRPr="009927E1">
        <w:rPr>
          <w:rFonts w:ascii="Times New Roman" w:hAnsi="Times New Roman" w:cs="Times New Roman"/>
          <w:color w:val="000000"/>
          <w:sz w:val="20"/>
          <w:szCs w:val="20"/>
          <w:lang w:val="en-GB"/>
        </w:rPr>
        <w:t>Treisman Daniel (2007): The Architecture of Government. Rethinking Political Decentralization. Cambridge: Cambridge University Press.</w:t>
      </w:r>
    </w:p>
    <w:p w14:paraId="46389AC1" w14:textId="4446B2AD" w:rsidR="00D74EC6" w:rsidRPr="009927E1" w:rsidRDefault="00D74EC6" w:rsidP="004B7962">
      <w:pPr>
        <w:autoSpaceDE w:val="0"/>
        <w:autoSpaceDN w:val="0"/>
        <w:adjustRightInd w:val="0"/>
        <w:spacing w:before="113" w:after="0" w:line="240" w:lineRule="auto"/>
        <w:jc w:val="both"/>
        <w:textAlignment w:val="center"/>
        <w:rPr>
          <w:rFonts w:ascii="Times New Roman" w:hAnsi="Times New Roman" w:cs="Times New Roman"/>
          <w:b/>
          <w:bCs/>
          <w:color w:val="000000"/>
          <w:sz w:val="20"/>
          <w:szCs w:val="20"/>
          <w:lang w:val="en-GB"/>
        </w:rPr>
      </w:pPr>
      <w:r w:rsidRPr="009927E1">
        <w:rPr>
          <w:rFonts w:ascii="Times New Roman" w:hAnsi="Times New Roman" w:cs="Times New Roman"/>
          <w:b/>
          <w:bCs/>
          <w:color w:val="000000"/>
          <w:sz w:val="20"/>
          <w:szCs w:val="20"/>
          <w:lang w:val="en-GB"/>
        </w:rPr>
        <w:t>Web Links</w:t>
      </w:r>
    </w:p>
    <w:p w14:paraId="6EC04BDF" w14:textId="1DFD56C0" w:rsidR="00886D4D" w:rsidRPr="009927E1" w:rsidRDefault="00000000" w:rsidP="00152856">
      <w:pPr>
        <w:autoSpaceDE w:val="0"/>
        <w:autoSpaceDN w:val="0"/>
        <w:adjustRightInd w:val="0"/>
        <w:spacing w:after="0" w:line="240" w:lineRule="auto"/>
        <w:jc w:val="both"/>
        <w:textAlignment w:val="center"/>
        <w:rPr>
          <w:rFonts w:ascii="Times New Roman" w:hAnsi="Times New Roman" w:cs="Times New Roman"/>
          <w:sz w:val="20"/>
          <w:szCs w:val="20"/>
          <w:lang w:val="en-GB"/>
        </w:rPr>
      </w:pPr>
      <w:hyperlink r:id="rId11" w:anchor="/pages/tables/insse-table" w:history="1">
        <w:r w:rsidR="00886D4D" w:rsidRPr="009927E1">
          <w:rPr>
            <w:rStyle w:val="Hyperlink"/>
            <w:rFonts w:ascii="Times New Roman" w:hAnsi="Times New Roman" w:cs="Times New Roman"/>
            <w:color w:val="auto"/>
            <w:sz w:val="20"/>
            <w:szCs w:val="20"/>
            <w:lang w:val="en-GB"/>
          </w:rPr>
          <w:t>http://statistici.insse.ro:8077/tempo-online/#/pages/tables/insse-table</w:t>
        </w:r>
      </w:hyperlink>
      <w:r w:rsidR="00367887" w:rsidRPr="009927E1">
        <w:rPr>
          <w:rStyle w:val="Hyperlink"/>
          <w:rFonts w:ascii="Times New Roman" w:hAnsi="Times New Roman" w:cs="Times New Roman"/>
          <w:color w:val="auto"/>
          <w:sz w:val="20"/>
          <w:szCs w:val="20"/>
          <w:lang w:val="en-GB"/>
        </w:rPr>
        <w:t>.</w:t>
      </w:r>
    </w:p>
    <w:p w14:paraId="14614359" w14:textId="764FE3F6" w:rsidR="00076F9C" w:rsidRPr="009927E1" w:rsidRDefault="00000000" w:rsidP="00152856">
      <w:pPr>
        <w:autoSpaceDE w:val="0"/>
        <w:autoSpaceDN w:val="0"/>
        <w:adjustRightInd w:val="0"/>
        <w:spacing w:after="0" w:line="240" w:lineRule="auto"/>
        <w:jc w:val="both"/>
        <w:textAlignment w:val="center"/>
        <w:rPr>
          <w:rFonts w:ascii="Times New Roman" w:hAnsi="Times New Roman" w:cs="Times New Roman"/>
          <w:sz w:val="20"/>
          <w:szCs w:val="20"/>
          <w:lang w:val="en-GB"/>
        </w:rPr>
      </w:pPr>
      <w:hyperlink r:id="rId12" w:history="1">
        <w:r w:rsidR="00367887" w:rsidRPr="009927E1">
          <w:rPr>
            <w:rStyle w:val="Hyperlink"/>
            <w:rFonts w:ascii="Times New Roman" w:hAnsi="Times New Roman" w:cs="Times New Roman"/>
            <w:color w:val="auto"/>
            <w:sz w:val="20"/>
            <w:szCs w:val="20"/>
            <w:lang w:val="en-GB"/>
          </w:rPr>
          <w:t>https://www.dpfbl.mdrap.ro/venituri_si_cheltuieli_uat/Centralizator2022.xlsx</w:t>
        </w:r>
      </w:hyperlink>
      <w:r w:rsidR="00367887" w:rsidRPr="009927E1">
        <w:rPr>
          <w:rFonts w:ascii="Times New Roman" w:hAnsi="Times New Roman" w:cs="Times New Roman"/>
          <w:sz w:val="20"/>
          <w:szCs w:val="20"/>
          <w:lang w:val="en-GB"/>
        </w:rPr>
        <w:t>.</w:t>
      </w:r>
    </w:p>
    <w:p w14:paraId="782F7F3B" w14:textId="62A4F9A9" w:rsidR="00367887" w:rsidRPr="009927E1" w:rsidRDefault="00000000" w:rsidP="00152856">
      <w:pPr>
        <w:autoSpaceDE w:val="0"/>
        <w:autoSpaceDN w:val="0"/>
        <w:adjustRightInd w:val="0"/>
        <w:spacing w:after="0" w:line="240" w:lineRule="auto"/>
        <w:jc w:val="both"/>
        <w:textAlignment w:val="center"/>
        <w:rPr>
          <w:rFonts w:ascii="Times New Roman" w:hAnsi="Times New Roman" w:cs="Times New Roman"/>
          <w:sz w:val="20"/>
          <w:szCs w:val="20"/>
          <w:lang w:val="en-GB"/>
        </w:rPr>
      </w:pPr>
      <w:hyperlink r:id="rId13" w:history="1">
        <w:r w:rsidR="00367887" w:rsidRPr="009927E1">
          <w:rPr>
            <w:rStyle w:val="Hyperlink"/>
            <w:rFonts w:ascii="Times New Roman" w:hAnsi="Times New Roman" w:cs="Times New Roman"/>
            <w:color w:val="auto"/>
            <w:sz w:val="20"/>
            <w:szCs w:val="20"/>
            <w:lang w:val="en-GB"/>
          </w:rPr>
          <w:t>https://view.officeapps.live.com/op/view.aspx?src=https%3A%2F%2Fwww.recensamantromania.ro%2Fwp-content%2Fuploads%2F2023%2F05%2FTabel-1.22.xlsx&amp;wdOrigin=BROWSELINK</w:t>
        </w:r>
      </w:hyperlink>
      <w:r w:rsidR="00367887" w:rsidRPr="009927E1">
        <w:rPr>
          <w:rFonts w:ascii="Times New Roman" w:hAnsi="Times New Roman" w:cs="Times New Roman"/>
          <w:sz w:val="20"/>
          <w:szCs w:val="20"/>
          <w:lang w:val="en-GB"/>
        </w:rPr>
        <w:t>.</w:t>
      </w:r>
    </w:p>
    <w:bookmarkStart w:id="9" w:name="_Hlk163485600"/>
    <w:p w14:paraId="2E3BC572" w14:textId="3774FC3C" w:rsidR="00CA0E1F" w:rsidRPr="009927E1" w:rsidRDefault="00000000" w:rsidP="00152856">
      <w:pPr>
        <w:autoSpaceDE w:val="0"/>
        <w:autoSpaceDN w:val="0"/>
        <w:adjustRightInd w:val="0"/>
        <w:spacing w:after="0" w:line="240" w:lineRule="auto"/>
        <w:jc w:val="both"/>
        <w:textAlignment w:val="center"/>
        <w:rPr>
          <w:rFonts w:ascii="Times New Roman" w:hAnsi="Times New Roman" w:cs="Times New Roman"/>
          <w:sz w:val="20"/>
          <w:szCs w:val="20"/>
          <w:lang w:val="en-GB"/>
        </w:rPr>
      </w:pPr>
      <w:r>
        <w:fldChar w:fldCharType="begin"/>
      </w:r>
      <w:r w:rsidRPr="00892A25">
        <w:rPr>
          <w:lang w:val="en-GB"/>
        </w:rPr>
        <w:instrText>HYPERLINK "https://core.nalas-observatory.eu/files/publications/pdf/1698936085.pdf"</w:instrText>
      </w:r>
      <w:r>
        <w:fldChar w:fldCharType="separate"/>
      </w:r>
      <w:r w:rsidR="00367887" w:rsidRPr="009927E1">
        <w:rPr>
          <w:rStyle w:val="Hyperlink"/>
          <w:rFonts w:ascii="Times New Roman" w:hAnsi="Times New Roman" w:cs="Times New Roman"/>
          <w:color w:val="auto"/>
          <w:sz w:val="20"/>
          <w:szCs w:val="20"/>
          <w:lang w:val="en-GB"/>
        </w:rPr>
        <w:t>https://core.nalas-observatory.eu/files/publications/pdf/1698936085.pdf</w:t>
      </w:r>
      <w:r>
        <w:rPr>
          <w:rStyle w:val="Hyperlink"/>
          <w:rFonts w:ascii="Times New Roman" w:hAnsi="Times New Roman" w:cs="Times New Roman"/>
          <w:color w:val="auto"/>
          <w:sz w:val="20"/>
          <w:szCs w:val="20"/>
          <w:lang w:val="en-GB"/>
        </w:rPr>
        <w:fldChar w:fldCharType="end"/>
      </w:r>
      <w:r w:rsidR="00367887" w:rsidRPr="009927E1">
        <w:rPr>
          <w:rFonts w:ascii="Times New Roman" w:hAnsi="Times New Roman" w:cs="Times New Roman"/>
          <w:sz w:val="20"/>
          <w:szCs w:val="20"/>
          <w:lang w:val="en-GB"/>
        </w:rPr>
        <w:t>.</w:t>
      </w:r>
    </w:p>
    <w:bookmarkEnd w:id="9"/>
    <w:p w14:paraId="1BDB8DE1" w14:textId="0C4F5CBE" w:rsidR="00367887" w:rsidRPr="009927E1" w:rsidRDefault="00000000" w:rsidP="00722FFE">
      <w:pPr>
        <w:suppressAutoHyphens/>
        <w:autoSpaceDE w:val="0"/>
        <w:autoSpaceDN w:val="0"/>
        <w:adjustRightInd w:val="0"/>
        <w:spacing w:after="0" w:line="240" w:lineRule="auto"/>
        <w:jc w:val="both"/>
        <w:textAlignment w:val="center"/>
        <w:rPr>
          <w:rFonts w:ascii="Times New Roman" w:hAnsi="Times New Roman" w:cs="Times New Roman"/>
          <w:sz w:val="20"/>
          <w:szCs w:val="20"/>
          <w:lang w:val="en-GB"/>
        </w:rPr>
      </w:pPr>
      <w:r>
        <w:fldChar w:fldCharType="begin"/>
      </w:r>
      <w:r w:rsidRPr="00892A25">
        <w:rPr>
          <w:lang w:val="en-GB"/>
        </w:rPr>
        <w:instrText>HYPERLINK "https://www.recensamantromania.ro/rezultate-rpl-2021/rezultate-definitive-caracteristici-demografice/"</w:instrText>
      </w:r>
      <w:r>
        <w:fldChar w:fldCharType="separate"/>
      </w:r>
      <w:r w:rsidR="00367887" w:rsidRPr="009927E1">
        <w:rPr>
          <w:rStyle w:val="Hyperlink"/>
          <w:rFonts w:ascii="Times New Roman" w:hAnsi="Times New Roman" w:cs="Times New Roman"/>
          <w:color w:val="auto"/>
          <w:sz w:val="20"/>
          <w:szCs w:val="20"/>
          <w:lang w:val="en-GB"/>
        </w:rPr>
        <w:t>https://www.recensamantromania.ro/rezultate-rpl-2021/rezultate-definitive-caracteristici-demografice/</w:t>
      </w:r>
      <w:r>
        <w:rPr>
          <w:rStyle w:val="Hyperlink"/>
          <w:rFonts w:ascii="Times New Roman" w:hAnsi="Times New Roman" w:cs="Times New Roman"/>
          <w:color w:val="auto"/>
          <w:sz w:val="20"/>
          <w:szCs w:val="20"/>
          <w:lang w:val="en-GB"/>
        </w:rPr>
        <w:fldChar w:fldCharType="end"/>
      </w:r>
      <w:r w:rsidR="005A46B9" w:rsidRPr="009927E1">
        <w:rPr>
          <w:rFonts w:ascii="Times New Roman" w:hAnsi="Times New Roman" w:cs="Times New Roman"/>
          <w:sz w:val="20"/>
          <w:szCs w:val="20"/>
          <w:lang w:val="en-GB"/>
        </w:rPr>
        <w:t>.</w:t>
      </w:r>
    </w:p>
    <w:sectPr w:rsidR="00367887" w:rsidRPr="009927E1" w:rsidSect="00915F2B">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1DA"/>
    <w:multiLevelType w:val="hybridMultilevel"/>
    <w:tmpl w:val="D7C6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87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2F"/>
    <w:rsid w:val="00002DF4"/>
    <w:rsid w:val="00003BCF"/>
    <w:rsid w:val="00010EA0"/>
    <w:rsid w:val="000112C6"/>
    <w:rsid w:val="0001377E"/>
    <w:rsid w:val="000177BC"/>
    <w:rsid w:val="000208BC"/>
    <w:rsid w:val="00024F04"/>
    <w:rsid w:val="00025396"/>
    <w:rsid w:val="00031558"/>
    <w:rsid w:val="000316F0"/>
    <w:rsid w:val="00037D4F"/>
    <w:rsid w:val="00040D6D"/>
    <w:rsid w:val="000417AB"/>
    <w:rsid w:val="00061C4C"/>
    <w:rsid w:val="00074744"/>
    <w:rsid w:val="00076F9C"/>
    <w:rsid w:val="00077EA2"/>
    <w:rsid w:val="00082ADE"/>
    <w:rsid w:val="000836AE"/>
    <w:rsid w:val="0008599A"/>
    <w:rsid w:val="000927DE"/>
    <w:rsid w:val="00095B57"/>
    <w:rsid w:val="00095E0F"/>
    <w:rsid w:val="000A274A"/>
    <w:rsid w:val="000A3A0A"/>
    <w:rsid w:val="000A5F86"/>
    <w:rsid w:val="000A7A48"/>
    <w:rsid w:val="000C028B"/>
    <w:rsid w:val="000C17E2"/>
    <w:rsid w:val="000C5D8E"/>
    <w:rsid w:val="000D024C"/>
    <w:rsid w:val="000D2D9A"/>
    <w:rsid w:val="000D604B"/>
    <w:rsid w:val="000E069F"/>
    <w:rsid w:val="000E0D04"/>
    <w:rsid w:val="001102EE"/>
    <w:rsid w:val="001123A6"/>
    <w:rsid w:val="00115653"/>
    <w:rsid w:val="00115756"/>
    <w:rsid w:val="001160E1"/>
    <w:rsid w:val="00124570"/>
    <w:rsid w:val="00126ABC"/>
    <w:rsid w:val="00126B22"/>
    <w:rsid w:val="001308AC"/>
    <w:rsid w:val="00134828"/>
    <w:rsid w:val="0013532B"/>
    <w:rsid w:val="001367E6"/>
    <w:rsid w:val="00140C29"/>
    <w:rsid w:val="00141786"/>
    <w:rsid w:val="00141CE4"/>
    <w:rsid w:val="00152856"/>
    <w:rsid w:val="00153A63"/>
    <w:rsid w:val="001608E1"/>
    <w:rsid w:val="00172532"/>
    <w:rsid w:val="00181AC0"/>
    <w:rsid w:val="00197ED4"/>
    <w:rsid w:val="001A0896"/>
    <w:rsid w:val="001A1808"/>
    <w:rsid w:val="001A1E88"/>
    <w:rsid w:val="001A295B"/>
    <w:rsid w:val="001A3FB3"/>
    <w:rsid w:val="001A62EA"/>
    <w:rsid w:val="001A6306"/>
    <w:rsid w:val="001B5438"/>
    <w:rsid w:val="001C2DDF"/>
    <w:rsid w:val="001C4B16"/>
    <w:rsid w:val="001C67E3"/>
    <w:rsid w:val="001C67FC"/>
    <w:rsid w:val="001D1A9B"/>
    <w:rsid w:val="001D7322"/>
    <w:rsid w:val="001D7739"/>
    <w:rsid w:val="001E304B"/>
    <w:rsid w:val="001E3E1E"/>
    <w:rsid w:val="001F2B0C"/>
    <w:rsid w:val="001F6866"/>
    <w:rsid w:val="00201FAC"/>
    <w:rsid w:val="002022B8"/>
    <w:rsid w:val="002054EC"/>
    <w:rsid w:val="002163B3"/>
    <w:rsid w:val="00220DDB"/>
    <w:rsid w:val="00227827"/>
    <w:rsid w:val="0024599F"/>
    <w:rsid w:val="00250C6E"/>
    <w:rsid w:val="00260DC1"/>
    <w:rsid w:val="00264B0B"/>
    <w:rsid w:val="002654FD"/>
    <w:rsid w:val="00267084"/>
    <w:rsid w:val="002705C1"/>
    <w:rsid w:val="002801A2"/>
    <w:rsid w:val="00282A06"/>
    <w:rsid w:val="002879BD"/>
    <w:rsid w:val="00291A34"/>
    <w:rsid w:val="0029423D"/>
    <w:rsid w:val="002A32D5"/>
    <w:rsid w:val="002B05E1"/>
    <w:rsid w:val="002B2B85"/>
    <w:rsid w:val="002B3126"/>
    <w:rsid w:val="002B6CDC"/>
    <w:rsid w:val="002C1087"/>
    <w:rsid w:val="002C1962"/>
    <w:rsid w:val="002C3153"/>
    <w:rsid w:val="002D006F"/>
    <w:rsid w:val="002D246E"/>
    <w:rsid w:val="002E01F8"/>
    <w:rsid w:val="002E0583"/>
    <w:rsid w:val="002E27EC"/>
    <w:rsid w:val="002E3241"/>
    <w:rsid w:val="002E3386"/>
    <w:rsid w:val="002F0276"/>
    <w:rsid w:val="002F16A5"/>
    <w:rsid w:val="002F4473"/>
    <w:rsid w:val="00300389"/>
    <w:rsid w:val="00300AC5"/>
    <w:rsid w:val="0030117B"/>
    <w:rsid w:val="00310121"/>
    <w:rsid w:val="00317E4A"/>
    <w:rsid w:val="00320716"/>
    <w:rsid w:val="00323115"/>
    <w:rsid w:val="00325585"/>
    <w:rsid w:val="00327F3A"/>
    <w:rsid w:val="00332794"/>
    <w:rsid w:val="003455DA"/>
    <w:rsid w:val="00346112"/>
    <w:rsid w:val="00351C75"/>
    <w:rsid w:val="00353B72"/>
    <w:rsid w:val="00367887"/>
    <w:rsid w:val="00384E69"/>
    <w:rsid w:val="0038677C"/>
    <w:rsid w:val="00393DD7"/>
    <w:rsid w:val="00397513"/>
    <w:rsid w:val="003A040C"/>
    <w:rsid w:val="003A510E"/>
    <w:rsid w:val="003A6C80"/>
    <w:rsid w:val="003B5922"/>
    <w:rsid w:val="003B76B2"/>
    <w:rsid w:val="003C0155"/>
    <w:rsid w:val="003C3079"/>
    <w:rsid w:val="003D1158"/>
    <w:rsid w:val="003D1CA0"/>
    <w:rsid w:val="003D2E7E"/>
    <w:rsid w:val="003D54F7"/>
    <w:rsid w:val="003D7779"/>
    <w:rsid w:val="003E3F2C"/>
    <w:rsid w:val="003F7950"/>
    <w:rsid w:val="00400E92"/>
    <w:rsid w:val="00402771"/>
    <w:rsid w:val="00410BCD"/>
    <w:rsid w:val="00420069"/>
    <w:rsid w:val="00421214"/>
    <w:rsid w:val="00422622"/>
    <w:rsid w:val="0042550B"/>
    <w:rsid w:val="00426E40"/>
    <w:rsid w:val="00431584"/>
    <w:rsid w:val="00431FC1"/>
    <w:rsid w:val="004328F1"/>
    <w:rsid w:val="00433969"/>
    <w:rsid w:val="004339CA"/>
    <w:rsid w:val="00451E4C"/>
    <w:rsid w:val="004546B0"/>
    <w:rsid w:val="004579F6"/>
    <w:rsid w:val="00460F3A"/>
    <w:rsid w:val="0046368D"/>
    <w:rsid w:val="0046564E"/>
    <w:rsid w:val="00466536"/>
    <w:rsid w:val="00467A08"/>
    <w:rsid w:val="0047072F"/>
    <w:rsid w:val="00470BF0"/>
    <w:rsid w:val="0047302B"/>
    <w:rsid w:val="00473B09"/>
    <w:rsid w:val="004815D1"/>
    <w:rsid w:val="00484E17"/>
    <w:rsid w:val="004A5A7C"/>
    <w:rsid w:val="004B1D68"/>
    <w:rsid w:val="004B363C"/>
    <w:rsid w:val="004B7962"/>
    <w:rsid w:val="004C10D2"/>
    <w:rsid w:val="004D2978"/>
    <w:rsid w:val="004D4021"/>
    <w:rsid w:val="004D7C59"/>
    <w:rsid w:val="004E4752"/>
    <w:rsid w:val="004E72DE"/>
    <w:rsid w:val="004F304E"/>
    <w:rsid w:val="004F461D"/>
    <w:rsid w:val="005014B4"/>
    <w:rsid w:val="00503E40"/>
    <w:rsid w:val="00513A30"/>
    <w:rsid w:val="00513C35"/>
    <w:rsid w:val="00536FF9"/>
    <w:rsid w:val="00537939"/>
    <w:rsid w:val="00544A6A"/>
    <w:rsid w:val="0054611F"/>
    <w:rsid w:val="00564AFE"/>
    <w:rsid w:val="0057607A"/>
    <w:rsid w:val="0058270B"/>
    <w:rsid w:val="00582AEB"/>
    <w:rsid w:val="00584349"/>
    <w:rsid w:val="00590284"/>
    <w:rsid w:val="00591D87"/>
    <w:rsid w:val="0059600F"/>
    <w:rsid w:val="005A0A81"/>
    <w:rsid w:val="005A4030"/>
    <w:rsid w:val="005A46B9"/>
    <w:rsid w:val="005A4B12"/>
    <w:rsid w:val="005B2EA3"/>
    <w:rsid w:val="005B5FAA"/>
    <w:rsid w:val="005B619E"/>
    <w:rsid w:val="005B781E"/>
    <w:rsid w:val="005C122D"/>
    <w:rsid w:val="005C220A"/>
    <w:rsid w:val="005D4692"/>
    <w:rsid w:val="005D6825"/>
    <w:rsid w:val="005D78E9"/>
    <w:rsid w:val="005E2FB4"/>
    <w:rsid w:val="005F22FA"/>
    <w:rsid w:val="005F2AA6"/>
    <w:rsid w:val="005F5C3C"/>
    <w:rsid w:val="0060726E"/>
    <w:rsid w:val="0060790E"/>
    <w:rsid w:val="00610C77"/>
    <w:rsid w:val="006111B8"/>
    <w:rsid w:val="00617390"/>
    <w:rsid w:val="00622AF9"/>
    <w:rsid w:val="00622DE3"/>
    <w:rsid w:val="00630A00"/>
    <w:rsid w:val="00630FFF"/>
    <w:rsid w:val="006377A0"/>
    <w:rsid w:val="00644A42"/>
    <w:rsid w:val="00647EF1"/>
    <w:rsid w:val="00654C94"/>
    <w:rsid w:val="00656523"/>
    <w:rsid w:val="00660870"/>
    <w:rsid w:val="00667AF4"/>
    <w:rsid w:val="006727F4"/>
    <w:rsid w:val="00676363"/>
    <w:rsid w:val="00677189"/>
    <w:rsid w:val="00682B07"/>
    <w:rsid w:val="00683B3B"/>
    <w:rsid w:val="00691BB1"/>
    <w:rsid w:val="0069569D"/>
    <w:rsid w:val="006A33EE"/>
    <w:rsid w:val="006A34CD"/>
    <w:rsid w:val="006A4048"/>
    <w:rsid w:val="006A4A8E"/>
    <w:rsid w:val="006A62C5"/>
    <w:rsid w:val="006B0727"/>
    <w:rsid w:val="006B080E"/>
    <w:rsid w:val="006C3E71"/>
    <w:rsid w:val="006C76C8"/>
    <w:rsid w:val="006D1A6C"/>
    <w:rsid w:val="006D3F09"/>
    <w:rsid w:val="006D6B5C"/>
    <w:rsid w:val="006F6310"/>
    <w:rsid w:val="006F66F0"/>
    <w:rsid w:val="00704F66"/>
    <w:rsid w:val="00717746"/>
    <w:rsid w:val="00722FFE"/>
    <w:rsid w:val="00730EBF"/>
    <w:rsid w:val="0074297C"/>
    <w:rsid w:val="00750E84"/>
    <w:rsid w:val="00754325"/>
    <w:rsid w:val="00770796"/>
    <w:rsid w:val="00771D07"/>
    <w:rsid w:val="00775A72"/>
    <w:rsid w:val="007772E2"/>
    <w:rsid w:val="00781A4E"/>
    <w:rsid w:val="00787137"/>
    <w:rsid w:val="00794112"/>
    <w:rsid w:val="00797ADB"/>
    <w:rsid w:val="00797DDD"/>
    <w:rsid w:val="007A3502"/>
    <w:rsid w:val="007A664B"/>
    <w:rsid w:val="007A7C9B"/>
    <w:rsid w:val="007B2DC3"/>
    <w:rsid w:val="007B438D"/>
    <w:rsid w:val="007B4B09"/>
    <w:rsid w:val="007B51FB"/>
    <w:rsid w:val="007B7628"/>
    <w:rsid w:val="007D0B9A"/>
    <w:rsid w:val="007D0C38"/>
    <w:rsid w:val="007D2A1C"/>
    <w:rsid w:val="007E030B"/>
    <w:rsid w:val="007E0431"/>
    <w:rsid w:val="007E18E7"/>
    <w:rsid w:val="007E4094"/>
    <w:rsid w:val="007E6CE5"/>
    <w:rsid w:val="007F17A6"/>
    <w:rsid w:val="007F19D8"/>
    <w:rsid w:val="007F44AA"/>
    <w:rsid w:val="008049BA"/>
    <w:rsid w:val="00810236"/>
    <w:rsid w:val="008241D3"/>
    <w:rsid w:val="00827AE4"/>
    <w:rsid w:val="00833D59"/>
    <w:rsid w:val="00834E2A"/>
    <w:rsid w:val="008367A4"/>
    <w:rsid w:val="00841382"/>
    <w:rsid w:val="008528F8"/>
    <w:rsid w:val="00862F41"/>
    <w:rsid w:val="00865319"/>
    <w:rsid w:val="00867EAA"/>
    <w:rsid w:val="008738EB"/>
    <w:rsid w:val="00875455"/>
    <w:rsid w:val="00875AE1"/>
    <w:rsid w:val="00886D4D"/>
    <w:rsid w:val="00887CEA"/>
    <w:rsid w:val="0089106C"/>
    <w:rsid w:val="00892A25"/>
    <w:rsid w:val="008935F0"/>
    <w:rsid w:val="00894D75"/>
    <w:rsid w:val="00894E55"/>
    <w:rsid w:val="0089757F"/>
    <w:rsid w:val="008A3256"/>
    <w:rsid w:val="008A7E00"/>
    <w:rsid w:val="008B5CE0"/>
    <w:rsid w:val="008B6C1F"/>
    <w:rsid w:val="008B7DAB"/>
    <w:rsid w:val="008C515C"/>
    <w:rsid w:val="008C7732"/>
    <w:rsid w:val="008D0DB4"/>
    <w:rsid w:val="008D4E45"/>
    <w:rsid w:val="008F0878"/>
    <w:rsid w:val="008F6724"/>
    <w:rsid w:val="00901727"/>
    <w:rsid w:val="00903B98"/>
    <w:rsid w:val="00907149"/>
    <w:rsid w:val="00910F70"/>
    <w:rsid w:val="00911427"/>
    <w:rsid w:val="009120AB"/>
    <w:rsid w:val="00914C49"/>
    <w:rsid w:val="00915F2B"/>
    <w:rsid w:val="009174BD"/>
    <w:rsid w:val="00920711"/>
    <w:rsid w:val="0092445B"/>
    <w:rsid w:val="00924711"/>
    <w:rsid w:val="00924EBF"/>
    <w:rsid w:val="009311BF"/>
    <w:rsid w:val="0093378A"/>
    <w:rsid w:val="009348A6"/>
    <w:rsid w:val="009456E9"/>
    <w:rsid w:val="00950CF8"/>
    <w:rsid w:val="009521DA"/>
    <w:rsid w:val="00953086"/>
    <w:rsid w:val="009677B0"/>
    <w:rsid w:val="0097107E"/>
    <w:rsid w:val="00976A8C"/>
    <w:rsid w:val="00976D9B"/>
    <w:rsid w:val="00980238"/>
    <w:rsid w:val="0098233F"/>
    <w:rsid w:val="0098434B"/>
    <w:rsid w:val="00986994"/>
    <w:rsid w:val="009927E1"/>
    <w:rsid w:val="00993BCC"/>
    <w:rsid w:val="009A35F7"/>
    <w:rsid w:val="009A7708"/>
    <w:rsid w:val="009A776F"/>
    <w:rsid w:val="009C021C"/>
    <w:rsid w:val="009C3849"/>
    <w:rsid w:val="009C4D65"/>
    <w:rsid w:val="009C572F"/>
    <w:rsid w:val="009D296F"/>
    <w:rsid w:val="009E5BB1"/>
    <w:rsid w:val="009E6666"/>
    <w:rsid w:val="009F2495"/>
    <w:rsid w:val="009F5BCD"/>
    <w:rsid w:val="009F60C3"/>
    <w:rsid w:val="009F6332"/>
    <w:rsid w:val="009F734D"/>
    <w:rsid w:val="00A00229"/>
    <w:rsid w:val="00A0329A"/>
    <w:rsid w:val="00A03CC5"/>
    <w:rsid w:val="00A047FB"/>
    <w:rsid w:val="00A057BD"/>
    <w:rsid w:val="00A139EE"/>
    <w:rsid w:val="00A13C05"/>
    <w:rsid w:val="00A14741"/>
    <w:rsid w:val="00A15BDB"/>
    <w:rsid w:val="00A245BC"/>
    <w:rsid w:val="00A30AB5"/>
    <w:rsid w:val="00A330A4"/>
    <w:rsid w:val="00A52EC1"/>
    <w:rsid w:val="00A53328"/>
    <w:rsid w:val="00A53F41"/>
    <w:rsid w:val="00A54199"/>
    <w:rsid w:val="00A56FE4"/>
    <w:rsid w:val="00A652A6"/>
    <w:rsid w:val="00A71731"/>
    <w:rsid w:val="00A812F0"/>
    <w:rsid w:val="00A835F9"/>
    <w:rsid w:val="00A83E25"/>
    <w:rsid w:val="00A85473"/>
    <w:rsid w:val="00A914E4"/>
    <w:rsid w:val="00A92174"/>
    <w:rsid w:val="00AA41AC"/>
    <w:rsid w:val="00AA76FC"/>
    <w:rsid w:val="00AC513F"/>
    <w:rsid w:val="00AC6470"/>
    <w:rsid w:val="00AD2A5C"/>
    <w:rsid w:val="00AD4FB2"/>
    <w:rsid w:val="00AD6EDE"/>
    <w:rsid w:val="00AF09EB"/>
    <w:rsid w:val="00AF30E5"/>
    <w:rsid w:val="00B047A4"/>
    <w:rsid w:val="00B05344"/>
    <w:rsid w:val="00B05908"/>
    <w:rsid w:val="00B23C7C"/>
    <w:rsid w:val="00B32E46"/>
    <w:rsid w:val="00B36F7C"/>
    <w:rsid w:val="00B412D0"/>
    <w:rsid w:val="00B4258D"/>
    <w:rsid w:val="00B44413"/>
    <w:rsid w:val="00B508DD"/>
    <w:rsid w:val="00B60571"/>
    <w:rsid w:val="00B610AB"/>
    <w:rsid w:val="00B62669"/>
    <w:rsid w:val="00B64334"/>
    <w:rsid w:val="00B76F2F"/>
    <w:rsid w:val="00B87C10"/>
    <w:rsid w:val="00B95495"/>
    <w:rsid w:val="00BA19AC"/>
    <w:rsid w:val="00BB59DA"/>
    <w:rsid w:val="00BD6971"/>
    <w:rsid w:val="00BE04FF"/>
    <w:rsid w:val="00BE1B43"/>
    <w:rsid w:val="00BE1EB2"/>
    <w:rsid w:val="00BE57D6"/>
    <w:rsid w:val="00BE74DC"/>
    <w:rsid w:val="00BE7C2B"/>
    <w:rsid w:val="00BE7D96"/>
    <w:rsid w:val="00BF4DB5"/>
    <w:rsid w:val="00BF7AFD"/>
    <w:rsid w:val="00C11A9B"/>
    <w:rsid w:val="00C24CE1"/>
    <w:rsid w:val="00C26259"/>
    <w:rsid w:val="00C34005"/>
    <w:rsid w:val="00C41484"/>
    <w:rsid w:val="00C46636"/>
    <w:rsid w:val="00C4768C"/>
    <w:rsid w:val="00C50CA3"/>
    <w:rsid w:val="00C61C28"/>
    <w:rsid w:val="00C62A83"/>
    <w:rsid w:val="00C66BD8"/>
    <w:rsid w:val="00C805B2"/>
    <w:rsid w:val="00C82F08"/>
    <w:rsid w:val="00C842D1"/>
    <w:rsid w:val="00C9300C"/>
    <w:rsid w:val="00CA0E1F"/>
    <w:rsid w:val="00CB7E63"/>
    <w:rsid w:val="00CC1595"/>
    <w:rsid w:val="00CC3A32"/>
    <w:rsid w:val="00CC3CB7"/>
    <w:rsid w:val="00CC3F5C"/>
    <w:rsid w:val="00CD3430"/>
    <w:rsid w:val="00CD7DE8"/>
    <w:rsid w:val="00CE0BA0"/>
    <w:rsid w:val="00CE5C75"/>
    <w:rsid w:val="00CF1A01"/>
    <w:rsid w:val="00CF5D6E"/>
    <w:rsid w:val="00CF6EB7"/>
    <w:rsid w:val="00D12D9D"/>
    <w:rsid w:val="00D14693"/>
    <w:rsid w:val="00D1573F"/>
    <w:rsid w:val="00D20100"/>
    <w:rsid w:val="00D24665"/>
    <w:rsid w:val="00D26E57"/>
    <w:rsid w:val="00D272CF"/>
    <w:rsid w:val="00D31475"/>
    <w:rsid w:val="00D4160E"/>
    <w:rsid w:val="00D42151"/>
    <w:rsid w:val="00D446DD"/>
    <w:rsid w:val="00D4507A"/>
    <w:rsid w:val="00D46684"/>
    <w:rsid w:val="00D472DB"/>
    <w:rsid w:val="00D51E14"/>
    <w:rsid w:val="00D61942"/>
    <w:rsid w:val="00D71241"/>
    <w:rsid w:val="00D74EC6"/>
    <w:rsid w:val="00D76F0C"/>
    <w:rsid w:val="00D814EF"/>
    <w:rsid w:val="00D81B5C"/>
    <w:rsid w:val="00DA2F76"/>
    <w:rsid w:val="00DA5462"/>
    <w:rsid w:val="00DA5548"/>
    <w:rsid w:val="00DC205F"/>
    <w:rsid w:val="00DD5561"/>
    <w:rsid w:val="00DD6A3A"/>
    <w:rsid w:val="00DE1946"/>
    <w:rsid w:val="00DE456F"/>
    <w:rsid w:val="00DE588E"/>
    <w:rsid w:val="00DF534D"/>
    <w:rsid w:val="00DF707F"/>
    <w:rsid w:val="00E009D3"/>
    <w:rsid w:val="00E00A42"/>
    <w:rsid w:val="00E02291"/>
    <w:rsid w:val="00E02B1B"/>
    <w:rsid w:val="00E02BED"/>
    <w:rsid w:val="00E07EEE"/>
    <w:rsid w:val="00E13CE3"/>
    <w:rsid w:val="00E13ECD"/>
    <w:rsid w:val="00E2790C"/>
    <w:rsid w:val="00E32D53"/>
    <w:rsid w:val="00E35D52"/>
    <w:rsid w:val="00E44425"/>
    <w:rsid w:val="00E477BC"/>
    <w:rsid w:val="00E52CF3"/>
    <w:rsid w:val="00E53980"/>
    <w:rsid w:val="00E550A5"/>
    <w:rsid w:val="00E555EF"/>
    <w:rsid w:val="00E55E6F"/>
    <w:rsid w:val="00E626C3"/>
    <w:rsid w:val="00E67951"/>
    <w:rsid w:val="00E81EE6"/>
    <w:rsid w:val="00E918F6"/>
    <w:rsid w:val="00E947C9"/>
    <w:rsid w:val="00EA2744"/>
    <w:rsid w:val="00EA4EC3"/>
    <w:rsid w:val="00EA6B71"/>
    <w:rsid w:val="00EA7B5E"/>
    <w:rsid w:val="00EA7FC0"/>
    <w:rsid w:val="00EC0354"/>
    <w:rsid w:val="00EC1D76"/>
    <w:rsid w:val="00EC21A5"/>
    <w:rsid w:val="00EC49F8"/>
    <w:rsid w:val="00EC660E"/>
    <w:rsid w:val="00ED024F"/>
    <w:rsid w:val="00EE1D56"/>
    <w:rsid w:val="00EE20F1"/>
    <w:rsid w:val="00EE3204"/>
    <w:rsid w:val="00EE389E"/>
    <w:rsid w:val="00EE5ADC"/>
    <w:rsid w:val="00EE7E0E"/>
    <w:rsid w:val="00EF3910"/>
    <w:rsid w:val="00EF77FF"/>
    <w:rsid w:val="00EF7A52"/>
    <w:rsid w:val="00EF7FD5"/>
    <w:rsid w:val="00F00839"/>
    <w:rsid w:val="00F14277"/>
    <w:rsid w:val="00F439E6"/>
    <w:rsid w:val="00F44F5A"/>
    <w:rsid w:val="00F50F80"/>
    <w:rsid w:val="00F5223F"/>
    <w:rsid w:val="00F53359"/>
    <w:rsid w:val="00F61B24"/>
    <w:rsid w:val="00F621D6"/>
    <w:rsid w:val="00F655B5"/>
    <w:rsid w:val="00F70164"/>
    <w:rsid w:val="00F70FB7"/>
    <w:rsid w:val="00F7400E"/>
    <w:rsid w:val="00F80366"/>
    <w:rsid w:val="00F8325B"/>
    <w:rsid w:val="00F8438C"/>
    <w:rsid w:val="00F91FA0"/>
    <w:rsid w:val="00FA2E17"/>
    <w:rsid w:val="00FA51B7"/>
    <w:rsid w:val="00FB4EDA"/>
    <w:rsid w:val="00FC4F8F"/>
    <w:rsid w:val="00FD2138"/>
    <w:rsid w:val="00FD4B6F"/>
    <w:rsid w:val="00FD6DD6"/>
    <w:rsid w:val="00FE0C85"/>
    <w:rsid w:val="00FE1862"/>
    <w:rsid w:val="00FE4280"/>
    <w:rsid w:val="00FE6874"/>
    <w:rsid w:val="00FF04F5"/>
    <w:rsid w:val="00FF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93C"/>
  <w15:docId w15:val="{D9EF04B9-33DB-489D-9315-0FF942C7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A0"/>
  </w:style>
  <w:style w:type="paragraph" w:styleId="Titlu1">
    <w:name w:val="heading 1"/>
    <w:aliases w:val="IATED-Section"/>
    <w:basedOn w:val="Normal"/>
    <w:next w:val="Normal"/>
    <w:link w:val="Titlu1Caracte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Titlu2">
    <w:name w:val="heading 2"/>
    <w:aliases w:val="IATED-Subsection"/>
    <w:basedOn w:val="Normal"/>
    <w:next w:val="Normal"/>
    <w:link w:val="Titlu2Caracte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Titlu3">
    <w:name w:val="heading 3"/>
    <w:aliases w:val="IATED-Subsubsection"/>
    <w:basedOn w:val="Normal"/>
    <w:next w:val="Normal"/>
    <w:link w:val="Titlu3Caracte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ATED-Section Caracter"/>
    <w:basedOn w:val="Fontdeparagrafimplicit"/>
    <w:link w:val="Titlu1"/>
    <w:uiPriority w:val="99"/>
    <w:rsid w:val="0047072F"/>
    <w:rPr>
      <w:rFonts w:ascii="Arial" w:hAnsi="Arial" w:cs="Arial"/>
      <w:caps/>
      <w:color w:val="000000"/>
      <w:sz w:val="24"/>
      <w:szCs w:val="24"/>
    </w:rPr>
  </w:style>
  <w:style w:type="character" w:customStyle="1" w:styleId="Titlu2Caracter">
    <w:name w:val="Titlu 2 Caracter"/>
    <w:aliases w:val="IATED-Subsection Caracter"/>
    <w:basedOn w:val="Fontdeparagrafimplicit"/>
    <w:link w:val="Titlu2"/>
    <w:uiPriority w:val="99"/>
    <w:rsid w:val="0047072F"/>
    <w:rPr>
      <w:rFonts w:ascii="Arial" w:hAnsi="Arial" w:cs="Arial"/>
      <w:color w:val="000000"/>
      <w:sz w:val="24"/>
      <w:szCs w:val="24"/>
    </w:rPr>
  </w:style>
  <w:style w:type="character" w:customStyle="1" w:styleId="Titlu3Caracter">
    <w:name w:val="Titlu 3 Caracter"/>
    <w:aliases w:val="IATED-Subsubsection Caracter"/>
    <w:basedOn w:val="Fontdeparagrafimplicit"/>
    <w:link w:val="Titlu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u">
    <w:name w:val="Title"/>
    <w:aliases w:val="IATED-Title"/>
    <w:basedOn w:val="Normal"/>
    <w:link w:val="TitluCaracte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uCaracter">
    <w:name w:val="Titlu Caracter"/>
    <w:aliases w:val="IATED-Title Caracter"/>
    <w:basedOn w:val="Fontdeparagrafimplicit"/>
    <w:link w:val="Titlu"/>
    <w:uiPriority w:val="99"/>
    <w:rsid w:val="0047072F"/>
    <w:rPr>
      <w:rFonts w:ascii="Arial" w:hAnsi="Arial" w:cs="Arial"/>
      <w:b/>
      <w:bCs/>
      <w:color w:val="000000"/>
      <w:sz w:val="24"/>
      <w:szCs w:val="24"/>
    </w:rPr>
  </w:style>
  <w:style w:type="paragraph" w:styleId="Indentcorptext">
    <w:name w:val="Body Text Indent"/>
    <w:basedOn w:val="Normal"/>
    <w:link w:val="IndentcorptextCaracte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IndentcorptextCaracter">
    <w:name w:val="Indent corp text Caracter"/>
    <w:basedOn w:val="Fontdeparagrafimplicit"/>
    <w:link w:val="Indentcorptex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Fontdeparagrafimplicit"/>
    <w:uiPriority w:val="99"/>
    <w:unhideWhenUsed/>
    <w:rsid w:val="00537939"/>
    <w:rPr>
      <w:color w:val="0000FF" w:themeColor="hyperlink"/>
      <w:u w:val="single"/>
    </w:rPr>
  </w:style>
  <w:style w:type="character" w:styleId="MeniuneNerezolvat">
    <w:name w:val="Unresolved Mention"/>
    <w:basedOn w:val="Fontdeparagrafimplicit"/>
    <w:uiPriority w:val="99"/>
    <w:semiHidden/>
    <w:unhideWhenUsed/>
    <w:rsid w:val="005F2AA6"/>
    <w:rPr>
      <w:color w:val="605E5C"/>
      <w:shd w:val="clear" w:color="auto" w:fill="E1DFDD"/>
    </w:rPr>
  </w:style>
  <w:style w:type="paragraph" w:styleId="Listparagraf">
    <w:name w:val="List Paragraph"/>
    <w:basedOn w:val="Normal"/>
    <w:uiPriority w:val="34"/>
    <w:qFormat/>
    <w:rsid w:val="00D74EC6"/>
    <w:pPr>
      <w:ind w:left="720"/>
      <w:contextualSpacing/>
    </w:pPr>
  </w:style>
  <w:style w:type="table" w:styleId="Tabelgril">
    <w:name w:val="Table Grid"/>
    <w:basedOn w:val="TabelNormal"/>
    <w:uiPriority w:val="59"/>
    <w:rsid w:val="0026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CC3F5C"/>
    <w:rPr>
      <w:color w:val="800080" w:themeColor="followedHyperlink"/>
      <w:u w:val="single"/>
    </w:rPr>
  </w:style>
  <w:style w:type="paragraph" w:styleId="Corptext">
    <w:name w:val="Body Text"/>
    <w:basedOn w:val="Normal"/>
    <w:link w:val="CorptextCaracter"/>
    <w:uiPriority w:val="99"/>
    <w:semiHidden/>
    <w:unhideWhenUsed/>
    <w:rsid w:val="00EF77FF"/>
    <w:pPr>
      <w:spacing w:after="120"/>
    </w:pPr>
  </w:style>
  <w:style w:type="character" w:customStyle="1" w:styleId="CorptextCaracter">
    <w:name w:val="Corp text Caracter"/>
    <w:basedOn w:val="Fontdeparagrafimplicit"/>
    <w:link w:val="Corptext"/>
    <w:uiPriority w:val="99"/>
    <w:semiHidden/>
    <w:rsid w:val="00EF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iew.officeapps.live.com/op/view.aspx?src=https%3A%2F%2Fwww.recensamantromania.ro%2Fwp-content%2Fuploads%2F2023%2F05%2FTabel-1.22.xlsx&amp;wdOrigin=BROWSELINK" TargetMode="External"/><Relationship Id="rId3" Type="http://schemas.openxmlformats.org/officeDocument/2006/relationships/numbering" Target="numbering.xml"/><Relationship Id="rId7" Type="http://schemas.openxmlformats.org/officeDocument/2006/relationships/hyperlink" Target="mailto:sergiu.tara@upb.ro" TargetMode="External"/><Relationship Id="rId12" Type="http://schemas.openxmlformats.org/officeDocument/2006/relationships/hyperlink" Target="https://www.dpfbl.mdrap.ro/venituri_si_cheltuieli_uat/Centralizator2022.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istici.insse.ro:8077/tempo-on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e.nalas-observatory.eu/files/publications/pdf/1698936085.pdf" TargetMode="External"/><Relationship Id="rId4" Type="http://schemas.openxmlformats.org/officeDocument/2006/relationships/styles" Target="style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021143190434533E-2"/>
          <c:y val="0.22967629046369201"/>
          <c:w val="0.88206337256498946"/>
          <c:h val="0.65872297212848396"/>
        </c:manualLayout>
      </c:layout>
      <c:lineChart>
        <c:grouping val="standard"/>
        <c:varyColors val="0"/>
        <c:ser>
          <c:idx val="0"/>
          <c:order val="0"/>
          <c:tx>
            <c:strRef>
              <c:f>Foaie1!$A$2</c:f>
              <c:strCache>
                <c:ptCount val="1"/>
                <c:pt idx="0">
                  <c:v>Municipii</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2.8056572887558841E-2"/>
                  <c:y val="6.3492219722534687E-2"/>
                </c:manualLayout>
              </c:layout>
              <c:showLegendKey val="0"/>
              <c:showVal val="1"/>
              <c:showCatName val="0"/>
              <c:showSerName val="0"/>
              <c:showPercent val="0"/>
              <c:showBubbleSize val="0"/>
              <c:extLst>
                <c:ext xmlns:c15="http://schemas.microsoft.com/office/drawing/2012/chart" uri="{CE6537A1-D6FC-4f65-9D91-7224C49458BB}">
                  <c15:layout>
                    <c:manualLayout>
                      <c:w val="3.4297380061245324E-2"/>
                      <c:h val="5.549618797650293E-2"/>
                    </c:manualLayout>
                  </c15:layout>
                </c:ext>
                <c:ext xmlns:c16="http://schemas.microsoft.com/office/drawing/2014/chart" uri="{C3380CC4-5D6E-409C-BE32-E72D297353CC}">
                  <c16:uniqueId val="{00000000-4893-4922-A6A5-10D64253D8DC}"/>
                </c:ext>
              </c:extLst>
            </c:dLbl>
            <c:dLbl>
              <c:idx val="2"/>
              <c:layout>
                <c:manualLayout>
                  <c:x val="-3.402517863218784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93-4922-A6A5-10D64253D8DC}"/>
                </c:ext>
              </c:extLst>
            </c:dLbl>
            <c:dLbl>
              <c:idx val="3"/>
              <c:layout>
                <c:manualLayout>
                  <c:x val="-2.9488488147896109E-2"/>
                  <c:y val="6.34920634920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93-4922-A6A5-10D64253D8DC}"/>
                </c:ext>
              </c:extLst>
            </c:dLbl>
            <c:dLbl>
              <c:idx val="5"/>
              <c:layout>
                <c:manualLayout>
                  <c:x val="-3.1756833390041962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93-4922-A6A5-10D64253D8DC}"/>
                </c:ext>
              </c:extLst>
            </c:dLbl>
            <c:dLbl>
              <c:idx val="6"/>
              <c:layout>
                <c:manualLayout>
                  <c:x val="-2.4951797663604443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93-4922-A6A5-10D64253D8DC}"/>
                </c:ext>
              </c:extLst>
            </c:dLbl>
            <c:dLbl>
              <c:idx val="8"/>
              <c:layout>
                <c:manualLayout>
                  <c:x val="-2.9488488147896192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93-4922-A6A5-10D64253D8DC}"/>
                </c:ext>
              </c:extLst>
            </c:dLbl>
            <c:dLbl>
              <c:idx val="9"/>
              <c:layout>
                <c:manualLayout>
                  <c:x val="-2.4951797663604402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93-4922-A6A5-10D64253D8DC}"/>
                </c:ext>
              </c:extLst>
            </c:dLbl>
            <c:dLbl>
              <c:idx val="10"/>
              <c:layout>
                <c:manualLayout>
                  <c:x val="-2.2683452421458628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93-4922-A6A5-10D64253D8DC}"/>
                </c:ext>
              </c:extLst>
            </c:dLbl>
            <c:dLbl>
              <c:idx val="11"/>
              <c:layout>
                <c:manualLayout>
                  <c:x val="-2.7220142905750339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93-4922-A6A5-10D64253D8DC}"/>
                </c:ext>
              </c:extLst>
            </c:dLbl>
            <c:dLbl>
              <c:idx val="18"/>
              <c:layout>
                <c:manualLayout>
                  <c:x val="-3.1756833390041962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93-4922-A6A5-10D64253D8DC}"/>
                </c:ext>
              </c:extLst>
            </c:dLbl>
            <c:dLbl>
              <c:idx val="33"/>
              <c:layout>
                <c:manualLayout>
                  <c:x val="0"/>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93-4922-A6A5-10D64253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Foaie1!$B$1:$T$1</c:f>
              <c:strCache>
                <c:ptCount val="19"/>
                <c:pt idx="0">
                  <c:v>1990-1992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2008-2009</c:v>
                </c:pt>
                <c:pt idx="17">
                  <c:v>2010-2018</c:v>
                </c:pt>
                <c:pt idx="18">
                  <c:v>2019-2023</c:v>
                </c:pt>
              </c:strCache>
            </c:strRef>
          </c:cat>
          <c:val>
            <c:numRef>
              <c:f>Foaie1!$B$2:$T$2</c:f>
              <c:numCache>
                <c:formatCode>General</c:formatCode>
                <c:ptCount val="19"/>
                <c:pt idx="0">
                  <c:v>56</c:v>
                </c:pt>
                <c:pt idx="1">
                  <c:v>57</c:v>
                </c:pt>
                <c:pt idx="2">
                  <c:v>67</c:v>
                </c:pt>
                <c:pt idx="3">
                  <c:v>80</c:v>
                </c:pt>
                <c:pt idx="4">
                  <c:v>80</c:v>
                </c:pt>
                <c:pt idx="5">
                  <c:v>82</c:v>
                </c:pt>
                <c:pt idx="6">
                  <c:v>84</c:v>
                </c:pt>
                <c:pt idx="7">
                  <c:v>84</c:v>
                </c:pt>
                <c:pt idx="8">
                  <c:v>93</c:v>
                </c:pt>
                <c:pt idx="9">
                  <c:v>96</c:v>
                </c:pt>
                <c:pt idx="10">
                  <c:v>97</c:v>
                </c:pt>
                <c:pt idx="11">
                  <c:v>103</c:v>
                </c:pt>
                <c:pt idx="12">
                  <c:v>103</c:v>
                </c:pt>
                <c:pt idx="13">
                  <c:v>103</c:v>
                </c:pt>
                <c:pt idx="14">
                  <c:v>103</c:v>
                </c:pt>
                <c:pt idx="15">
                  <c:v>103</c:v>
                </c:pt>
                <c:pt idx="16">
                  <c:v>103</c:v>
                </c:pt>
                <c:pt idx="17">
                  <c:v>103</c:v>
                </c:pt>
                <c:pt idx="18">
                  <c:v>103</c:v>
                </c:pt>
              </c:numCache>
            </c:numRef>
          </c:val>
          <c:smooth val="0"/>
          <c:extLst>
            <c:ext xmlns:c16="http://schemas.microsoft.com/office/drawing/2014/chart" uri="{C3380CC4-5D6E-409C-BE32-E72D297353CC}">
              <c16:uniqueId val="{0000000B-4893-4922-A6A5-10D64253D8DC}"/>
            </c:ext>
          </c:extLst>
        </c:ser>
        <c:ser>
          <c:idx val="1"/>
          <c:order val="1"/>
          <c:tx>
            <c:strRef>
              <c:f>Foaie1!$A$3</c:f>
              <c:strCache>
                <c:ptCount val="1"/>
                <c:pt idx="0">
                  <c:v>Orașe</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9.2592592592592587E-3"/>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893-4922-A6A5-10D64253D8DC}"/>
                </c:ext>
              </c:extLst>
            </c:dLbl>
            <c:dLbl>
              <c:idx val="2"/>
              <c:layout>
                <c:manualLayout>
                  <c:x val="-2.7220142905750255E-2"/>
                  <c:y val="-5.9523809523809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93-4922-A6A5-10D64253D8DC}"/>
                </c:ext>
              </c:extLst>
            </c:dLbl>
            <c:dLbl>
              <c:idx val="3"/>
              <c:layout>
                <c:manualLayout>
                  <c:x val="-2.9488488147896109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893-4922-A6A5-10D64253D8DC}"/>
                </c:ext>
              </c:extLst>
            </c:dLbl>
            <c:dLbl>
              <c:idx val="5"/>
              <c:layout>
                <c:manualLayout>
                  <c:x val="-3.4025178632187819E-2"/>
                  <c:y val="-6.3492063492063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93-4922-A6A5-10D64253D8DC}"/>
                </c:ext>
              </c:extLst>
            </c:dLbl>
            <c:dLbl>
              <c:idx val="6"/>
              <c:layout>
                <c:manualLayout>
                  <c:x val="-3.6293523874333676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893-4922-A6A5-10D64253D8DC}"/>
                </c:ext>
              </c:extLst>
            </c:dLbl>
            <c:dLbl>
              <c:idx val="8"/>
              <c:layout>
                <c:manualLayout>
                  <c:x val="-3.6293523874333676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893-4922-A6A5-10D64253D8DC}"/>
                </c:ext>
              </c:extLst>
            </c:dLbl>
            <c:dLbl>
              <c:idx val="9"/>
              <c:layout>
                <c:manualLayout>
                  <c:x val="-3.4025178632187819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893-4922-A6A5-10D64253D8DC}"/>
                </c:ext>
              </c:extLst>
            </c:dLbl>
            <c:dLbl>
              <c:idx val="10"/>
              <c:layout>
                <c:manualLayout>
                  <c:x val="-3.8561869116479526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893-4922-A6A5-10D64253D8DC}"/>
                </c:ext>
              </c:extLst>
            </c:dLbl>
            <c:dLbl>
              <c:idx val="11"/>
              <c:layout>
                <c:manualLayout>
                  <c:x val="-3.8561869116479526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893-4922-A6A5-10D64253D8DC}"/>
                </c:ext>
              </c:extLst>
            </c:dLbl>
            <c:dLbl>
              <c:idx val="12"/>
              <c:layout>
                <c:manualLayout>
                  <c:x val="-3.6293523874333676E-2"/>
                  <c:y val="-5.9523809523809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893-4922-A6A5-10D64253D8DC}"/>
                </c:ext>
              </c:extLst>
            </c:dLbl>
            <c:dLbl>
              <c:idx val="13"/>
              <c:layout>
                <c:manualLayout>
                  <c:x val="-3.1756833390042045E-2"/>
                  <c:y val="-5.9523809523809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893-4922-A6A5-10D64253D8DC}"/>
                </c:ext>
              </c:extLst>
            </c:dLbl>
            <c:dLbl>
              <c:idx val="14"/>
              <c:layout>
                <c:manualLayout>
                  <c:x val="-2.3148148148148234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893-4922-A6A5-10D64253D8DC}"/>
                </c:ext>
              </c:extLst>
            </c:dLbl>
            <c:dLbl>
              <c:idx val="18"/>
              <c:layout>
                <c:manualLayout>
                  <c:x val="-3.4025178632187819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893-4922-A6A5-10D64253D8DC}"/>
                </c:ext>
              </c:extLst>
            </c:dLbl>
            <c:dLbl>
              <c:idx val="33"/>
              <c:layout>
                <c:manualLayout>
                  <c:x val="-5.0925925925925923E-2"/>
                  <c:y val="-7.142857142857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893-4922-A6A5-10D64253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Foaie1!$B$1:$T$1</c:f>
              <c:strCache>
                <c:ptCount val="19"/>
                <c:pt idx="0">
                  <c:v>1990-1992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2008-2009</c:v>
                </c:pt>
                <c:pt idx="17">
                  <c:v>2010-2018</c:v>
                </c:pt>
                <c:pt idx="18">
                  <c:v>2019-2023</c:v>
                </c:pt>
              </c:strCache>
            </c:strRef>
          </c:cat>
          <c:val>
            <c:numRef>
              <c:f>Foaie1!$B$3:$T$3</c:f>
              <c:numCache>
                <c:formatCode>General</c:formatCode>
                <c:ptCount val="19"/>
                <c:pt idx="0">
                  <c:v>204</c:v>
                </c:pt>
                <c:pt idx="1">
                  <c:v>203</c:v>
                </c:pt>
                <c:pt idx="2">
                  <c:v>195</c:v>
                </c:pt>
                <c:pt idx="3">
                  <c:v>182</c:v>
                </c:pt>
                <c:pt idx="4">
                  <c:v>182</c:v>
                </c:pt>
                <c:pt idx="5">
                  <c:v>180</c:v>
                </c:pt>
                <c:pt idx="6">
                  <c:v>179</c:v>
                </c:pt>
                <c:pt idx="7">
                  <c:v>179</c:v>
                </c:pt>
                <c:pt idx="8">
                  <c:v>172</c:v>
                </c:pt>
                <c:pt idx="9">
                  <c:v>169</c:v>
                </c:pt>
                <c:pt idx="10">
                  <c:v>171</c:v>
                </c:pt>
                <c:pt idx="11">
                  <c:v>173</c:v>
                </c:pt>
                <c:pt idx="12">
                  <c:v>211</c:v>
                </c:pt>
                <c:pt idx="13">
                  <c:v>216</c:v>
                </c:pt>
                <c:pt idx="14">
                  <c:v>217</c:v>
                </c:pt>
                <c:pt idx="15">
                  <c:v>217</c:v>
                </c:pt>
                <c:pt idx="16">
                  <c:v>217</c:v>
                </c:pt>
                <c:pt idx="17">
                  <c:v>217</c:v>
                </c:pt>
                <c:pt idx="18">
                  <c:v>216</c:v>
                </c:pt>
              </c:numCache>
            </c:numRef>
          </c:val>
          <c:smooth val="0"/>
          <c:extLst>
            <c:ext xmlns:c16="http://schemas.microsoft.com/office/drawing/2014/chart" uri="{C3380CC4-5D6E-409C-BE32-E72D297353CC}">
              <c16:uniqueId val="{0000001A-4893-4922-A6A5-10D64253D8DC}"/>
            </c:ext>
          </c:extLst>
        </c:ser>
        <c:ser>
          <c:idx val="2"/>
          <c:order val="2"/>
          <c:tx>
            <c:strRef>
              <c:f>Foaie1!$A$4</c:f>
              <c:strCache>
                <c:ptCount val="1"/>
                <c:pt idx="0">
                  <c:v>Comune</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861101997666957E-2"/>
                  <c:y val="6.3492219722534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893-4922-A6A5-10D64253D8DC}"/>
                </c:ext>
              </c:extLst>
            </c:dLbl>
            <c:dLbl>
              <c:idx val="2"/>
              <c:layout>
                <c:manualLayout>
                  <c:x val="-3.6293523874333676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893-4922-A6A5-10D64253D8DC}"/>
                </c:ext>
              </c:extLst>
            </c:dLbl>
            <c:dLbl>
              <c:idx val="3"/>
              <c:layout>
                <c:manualLayout>
                  <c:x val="-3.6293523874333718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893-4922-A6A5-10D64253D8DC}"/>
                </c:ext>
              </c:extLst>
            </c:dLbl>
            <c:dLbl>
              <c:idx val="4"/>
              <c:layout>
                <c:manualLayout>
                  <c:x val="-3.6293523874333676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893-4922-A6A5-10D64253D8DC}"/>
                </c:ext>
              </c:extLst>
            </c:dLbl>
            <c:dLbl>
              <c:idx val="6"/>
              <c:layout>
                <c:manualLayout>
                  <c:x val="-3.6293523874333676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893-4922-A6A5-10D64253D8DC}"/>
                </c:ext>
              </c:extLst>
            </c:dLbl>
            <c:dLbl>
              <c:idx val="7"/>
              <c:layout>
                <c:manualLayout>
                  <c:x val="-3.6293523874333759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893-4922-A6A5-10D64253D8DC}"/>
                </c:ext>
              </c:extLst>
            </c:dLbl>
            <c:dLbl>
              <c:idx val="8"/>
              <c:layout>
                <c:manualLayout>
                  <c:x val="-3.6293523874333676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893-4922-A6A5-10D64253D8DC}"/>
                </c:ext>
              </c:extLst>
            </c:dLbl>
            <c:dLbl>
              <c:idx val="10"/>
              <c:layout>
                <c:manualLayout>
                  <c:x val="-6.8050357264375638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893-4922-A6A5-10D64253D8DC}"/>
                </c:ext>
              </c:extLst>
            </c:dLbl>
            <c:dLbl>
              <c:idx val="11"/>
              <c:layout>
                <c:manualLayout>
                  <c:x val="-6.3513666780083924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893-4922-A6A5-10D64253D8DC}"/>
                </c:ext>
              </c:extLst>
            </c:dLbl>
            <c:dLbl>
              <c:idx val="12"/>
              <c:layout>
                <c:manualLayout>
                  <c:x val="-6.3513666780083924E-2"/>
                  <c:y val="8.7301587301587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893-4922-A6A5-10D64253D8DC}"/>
                </c:ext>
              </c:extLst>
            </c:dLbl>
            <c:dLbl>
              <c:idx val="13"/>
              <c:layout>
                <c:manualLayout>
                  <c:x val="-6.25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893-4922-A6A5-10D64253D8DC}"/>
                </c:ext>
              </c:extLst>
            </c:dLbl>
            <c:dLbl>
              <c:idx val="14"/>
              <c:layout>
                <c:manualLayout>
                  <c:x val="-5.2636683429202261E-2"/>
                  <c:y val="8.7301587301587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893-4922-A6A5-10D64253D8DC}"/>
                </c:ext>
              </c:extLst>
            </c:dLbl>
            <c:dLbl>
              <c:idx val="15"/>
              <c:layout>
                <c:manualLayout>
                  <c:x val="-3.1199213402169575E-2"/>
                  <c:y val="8.3333333333333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893-4922-A6A5-10D64253D8DC}"/>
                </c:ext>
              </c:extLst>
            </c:dLbl>
            <c:dLbl>
              <c:idx val="16"/>
              <c:layout>
                <c:manualLayout>
                  <c:x val="-2.4951797663604402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893-4922-A6A5-10D64253D8DC}"/>
                </c:ext>
              </c:extLst>
            </c:dLbl>
            <c:dLbl>
              <c:idx val="17"/>
              <c:layout>
                <c:manualLayout>
                  <c:x val="-2.4951797663604402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893-4922-A6A5-10D64253D8DC}"/>
                </c:ext>
              </c:extLst>
            </c:dLbl>
            <c:dLbl>
              <c:idx val="18"/>
              <c:layout>
                <c:manualLayout>
                  <c:x val="-1.5878416695020981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893-4922-A6A5-10D64253D8DC}"/>
                </c:ext>
              </c:extLst>
            </c:dLbl>
            <c:dLbl>
              <c:idx val="33"/>
              <c:layout>
                <c:manualLayout>
                  <c:x val="-3.7037037037037035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893-4922-A6A5-10D64253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Foaie1!$B$1:$T$1</c:f>
              <c:strCache>
                <c:ptCount val="19"/>
                <c:pt idx="0">
                  <c:v>1990-1992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2008-2009</c:v>
                </c:pt>
                <c:pt idx="17">
                  <c:v>2010-2018</c:v>
                </c:pt>
                <c:pt idx="18">
                  <c:v>2019-2023</c:v>
                </c:pt>
              </c:strCache>
            </c:strRef>
          </c:cat>
          <c:val>
            <c:numRef>
              <c:f>Foaie1!$B$4:$T$4</c:f>
              <c:numCache>
                <c:formatCode>General</c:formatCode>
                <c:ptCount val="19"/>
                <c:pt idx="0">
                  <c:v>2688</c:v>
                </c:pt>
                <c:pt idx="1">
                  <c:v>2688</c:v>
                </c:pt>
                <c:pt idx="2">
                  <c:v>2686</c:v>
                </c:pt>
                <c:pt idx="3">
                  <c:v>2688</c:v>
                </c:pt>
                <c:pt idx="4">
                  <c:v>2686</c:v>
                </c:pt>
                <c:pt idx="5">
                  <c:v>2686</c:v>
                </c:pt>
                <c:pt idx="6">
                  <c:v>2685</c:v>
                </c:pt>
                <c:pt idx="7">
                  <c:v>2688</c:v>
                </c:pt>
                <c:pt idx="8">
                  <c:v>2686</c:v>
                </c:pt>
                <c:pt idx="9">
                  <c:v>2686</c:v>
                </c:pt>
                <c:pt idx="10">
                  <c:v>2698</c:v>
                </c:pt>
                <c:pt idx="11">
                  <c:v>2727</c:v>
                </c:pt>
                <c:pt idx="12">
                  <c:v>2827</c:v>
                </c:pt>
                <c:pt idx="13">
                  <c:v>2851</c:v>
                </c:pt>
                <c:pt idx="14">
                  <c:v>2854</c:v>
                </c:pt>
                <c:pt idx="15">
                  <c:v>2856</c:v>
                </c:pt>
                <c:pt idx="16">
                  <c:v>2860</c:v>
                </c:pt>
                <c:pt idx="17">
                  <c:v>2861</c:v>
                </c:pt>
                <c:pt idx="18">
                  <c:v>2862</c:v>
                </c:pt>
              </c:numCache>
            </c:numRef>
          </c:val>
          <c:smooth val="0"/>
          <c:extLst>
            <c:ext xmlns:c16="http://schemas.microsoft.com/office/drawing/2014/chart" uri="{C3380CC4-5D6E-409C-BE32-E72D297353CC}">
              <c16:uniqueId val="{0000002C-4893-4922-A6A5-10D64253D8DC}"/>
            </c:ext>
          </c:extLst>
        </c:ser>
        <c:ser>
          <c:idx val="3"/>
          <c:order val="3"/>
          <c:tx>
            <c:strRef>
              <c:f>Foaie1!$A$5</c:f>
              <c:strCache>
                <c:ptCount val="1"/>
                <c:pt idx="0">
                  <c:v>Total</c:v>
                </c:pt>
              </c:strCache>
            </c:strRef>
          </c:tx>
          <c:spPr>
            <a:ln w="34925" cap="rnd">
              <a:solidFill>
                <a:schemeClr val="accent4"/>
              </a:solidFill>
              <a:round/>
            </a:ln>
            <a:effectLst>
              <a:outerShdw blurRad="40000" dist="23000" dir="5400000" rotWithShape="0">
                <a:srgbClr val="000000">
                  <a:alpha val="35000"/>
                </a:srgbClr>
              </a:outerShdw>
            </a:effectLst>
          </c:spPr>
          <c:marker>
            <c:symbol val="circle"/>
            <c:size val="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a:solidFill>
                  <a:schemeClr val="accent4"/>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5366904842917104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893-4922-A6A5-10D64253D8DC}"/>
                </c:ext>
              </c:extLst>
            </c:dLbl>
            <c:dLbl>
              <c:idx val="3"/>
              <c:layout>
                <c:manualLayout>
                  <c:x val="-3.4025178632187861E-2"/>
                  <c:y val="-7.9365079365079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893-4922-A6A5-10D64253D8DC}"/>
                </c:ext>
              </c:extLst>
            </c:dLbl>
            <c:dLbl>
              <c:idx val="4"/>
              <c:layout>
                <c:manualLayout>
                  <c:x val="-3.1756833390041962E-2"/>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4893-4922-A6A5-10D64253D8DC}"/>
                </c:ext>
              </c:extLst>
            </c:dLbl>
            <c:dLbl>
              <c:idx val="7"/>
              <c:layout>
                <c:manualLayout>
                  <c:x val="-4.0830214358625466E-2"/>
                  <c:y val="-7.1428571428571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893-4922-A6A5-10D64253D8DC}"/>
                </c:ext>
              </c:extLst>
            </c:dLbl>
            <c:dLbl>
              <c:idx val="10"/>
              <c:layout>
                <c:manualLayout>
                  <c:x val="-5.8976976295792218E-2"/>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4893-4922-A6A5-10D64253D8DC}"/>
                </c:ext>
              </c:extLst>
            </c:dLbl>
            <c:dLbl>
              <c:idx val="11"/>
              <c:layout>
                <c:manualLayout>
                  <c:x val="-4.763525008506303E-2"/>
                  <c:y val="-7.1428571428571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4893-4922-A6A5-10D64253D8DC}"/>
                </c:ext>
              </c:extLst>
            </c:dLbl>
            <c:dLbl>
              <c:idx val="12"/>
              <c:layout>
                <c:manualLayout>
                  <c:x val="-4.309855960077124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4893-4922-A6A5-10D64253D8DC}"/>
                </c:ext>
              </c:extLst>
            </c:dLbl>
            <c:dLbl>
              <c:idx val="13"/>
              <c:layout>
                <c:manualLayout>
                  <c:x val="-4.083021435862546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4893-4922-A6A5-10D64253D8DC}"/>
                </c:ext>
              </c:extLst>
            </c:dLbl>
            <c:dLbl>
              <c:idx val="14"/>
              <c:layout>
                <c:manualLayout>
                  <c:x val="-3.856186911647952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4893-4922-A6A5-10D64253D8DC}"/>
                </c:ext>
              </c:extLst>
            </c:dLbl>
            <c:dLbl>
              <c:idx val="15"/>
              <c:layout>
                <c:manualLayout>
                  <c:x val="-3.6293523874333676E-2"/>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4893-4922-A6A5-10D64253D8DC}"/>
                </c:ext>
              </c:extLst>
            </c:dLbl>
            <c:dLbl>
              <c:idx val="16"/>
              <c:layout>
                <c:manualLayout>
                  <c:x val="-3.6293523874333843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4893-4922-A6A5-10D64253D8DC}"/>
                </c:ext>
              </c:extLst>
            </c:dLbl>
            <c:dLbl>
              <c:idx val="17"/>
              <c:layout>
                <c:manualLayout>
                  <c:x val="-3.4025178632187819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4893-4922-A6A5-10D64253D8DC}"/>
                </c:ext>
              </c:extLst>
            </c:dLbl>
            <c:dLbl>
              <c:idx val="18"/>
              <c:layout>
                <c:manualLayout>
                  <c:x val="-1.8146761937167005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4893-4922-A6A5-10D64253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Foaie1!$B$1:$T$1</c:f>
              <c:strCache>
                <c:ptCount val="19"/>
                <c:pt idx="0">
                  <c:v>1990-1992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2008-2009</c:v>
                </c:pt>
                <c:pt idx="17">
                  <c:v>2010-2018</c:v>
                </c:pt>
                <c:pt idx="18">
                  <c:v>2019-2023</c:v>
                </c:pt>
              </c:strCache>
            </c:strRef>
          </c:cat>
          <c:val>
            <c:numRef>
              <c:f>Foaie1!$B$5:$T$5</c:f>
              <c:numCache>
                <c:formatCode>General</c:formatCode>
                <c:ptCount val="19"/>
                <c:pt idx="0">
                  <c:v>2948</c:v>
                </c:pt>
                <c:pt idx="1">
                  <c:v>2948</c:v>
                </c:pt>
                <c:pt idx="2">
                  <c:v>2948</c:v>
                </c:pt>
                <c:pt idx="3">
                  <c:v>2950</c:v>
                </c:pt>
                <c:pt idx="4">
                  <c:v>2948</c:v>
                </c:pt>
                <c:pt idx="5">
                  <c:v>2948</c:v>
                </c:pt>
                <c:pt idx="6">
                  <c:v>2948</c:v>
                </c:pt>
                <c:pt idx="7">
                  <c:v>2951</c:v>
                </c:pt>
                <c:pt idx="8">
                  <c:v>2951</c:v>
                </c:pt>
                <c:pt idx="9">
                  <c:v>2951</c:v>
                </c:pt>
                <c:pt idx="10">
                  <c:v>2966</c:v>
                </c:pt>
                <c:pt idx="11">
                  <c:v>3003</c:v>
                </c:pt>
                <c:pt idx="12">
                  <c:v>3141</c:v>
                </c:pt>
                <c:pt idx="13">
                  <c:v>3170</c:v>
                </c:pt>
                <c:pt idx="14">
                  <c:v>3174</c:v>
                </c:pt>
                <c:pt idx="15">
                  <c:v>3176</c:v>
                </c:pt>
                <c:pt idx="16">
                  <c:v>3180</c:v>
                </c:pt>
                <c:pt idx="17">
                  <c:v>3181</c:v>
                </c:pt>
                <c:pt idx="18">
                  <c:v>3181</c:v>
                </c:pt>
              </c:numCache>
            </c:numRef>
          </c:val>
          <c:smooth val="0"/>
          <c:extLst>
            <c:ext xmlns:c16="http://schemas.microsoft.com/office/drawing/2014/chart" uri="{C3380CC4-5D6E-409C-BE32-E72D297353CC}">
              <c16:uniqueId val="{0000003A-4893-4922-A6A5-10D64253D8DC}"/>
            </c:ext>
          </c:extLst>
        </c:ser>
        <c:dLbls>
          <c:showLegendKey val="0"/>
          <c:showVal val="0"/>
          <c:showCatName val="0"/>
          <c:showSerName val="0"/>
          <c:showPercent val="0"/>
          <c:showBubbleSize val="0"/>
        </c:dLbls>
        <c:marker val="1"/>
        <c:smooth val="0"/>
        <c:axId val="723458160"/>
        <c:axId val="723462960"/>
      </c:lineChart>
      <c:catAx>
        <c:axId val="723458160"/>
        <c:scaling>
          <c:orientation val="minMax"/>
        </c:scaling>
        <c:delete val="0"/>
        <c:axPos val="t"/>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462960"/>
        <c:crosses val="max"/>
        <c:auto val="1"/>
        <c:lblAlgn val="ctr"/>
        <c:lblOffset val="100"/>
        <c:noMultiLvlLbl val="0"/>
      </c:catAx>
      <c:valAx>
        <c:axId val="723462960"/>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458160"/>
        <c:crosses val="autoZero"/>
        <c:crossBetween val="between"/>
      </c:valAx>
      <c:spPr>
        <a:noFill/>
        <a:ln>
          <a:noFill/>
        </a:ln>
        <a:effectLst/>
      </c:spPr>
    </c:plotArea>
    <c:legend>
      <c:legendPos val="b"/>
      <c:layout>
        <c:manualLayout>
          <c:xMode val="edge"/>
          <c:yMode val="edge"/>
          <c:x val="0.20204936955184108"/>
          <c:y val="1.2400324959380041E-2"/>
          <c:w val="0.54591461198347146"/>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707940862408736"/>
          <c:y val="9.7144818251479872E-2"/>
          <c:w val="0.66292059137591264"/>
          <c:h val="0.48387286798153445"/>
        </c:manualLayout>
      </c:layout>
      <c:lineChart>
        <c:grouping val="standard"/>
        <c:varyColors val="0"/>
        <c:ser>
          <c:idx val="2"/>
          <c:order val="2"/>
          <c:tx>
            <c:strRef>
              <c:f>Foaie1!$A$7</c:f>
              <c:strCache>
                <c:ptCount val="1"/>
                <c:pt idx="0">
                  <c:v>Average population</c:v>
                </c:pt>
              </c:strCache>
            </c:strRef>
          </c:tx>
          <c:spPr>
            <a:ln w="19050" cap="rnd" cmpd="sng" algn="ctr">
              <a:solidFill>
                <a:schemeClr val="accent3">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Foaie1!$B$7:$J$7</c:f>
              <c:numCache>
                <c:formatCode>#,##0_ ;\-#,##0\ </c:formatCode>
                <c:ptCount val="9"/>
                <c:pt idx="0">
                  <c:v>1104</c:v>
                </c:pt>
                <c:pt idx="1">
                  <c:v>2194</c:v>
                </c:pt>
                <c:pt idx="2">
                  <c:v>3783</c:v>
                </c:pt>
                <c:pt idx="3">
                  <c:v>6655</c:v>
                </c:pt>
                <c:pt idx="4">
                  <c:v>13395</c:v>
                </c:pt>
                <c:pt idx="5">
                  <c:v>29554</c:v>
                </c:pt>
                <c:pt idx="6">
                  <c:v>66523</c:v>
                </c:pt>
                <c:pt idx="7">
                  <c:v>140336</c:v>
                </c:pt>
                <c:pt idx="8">
                  <c:v>251775</c:v>
                </c:pt>
              </c:numCache>
              <c:extLst/>
            </c:numRef>
          </c:val>
          <c:smooth val="0"/>
          <c:extLst>
            <c:ext xmlns:c16="http://schemas.microsoft.com/office/drawing/2014/chart" uri="{C3380CC4-5D6E-409C-BE32-E72D297353CC}">
              <c16:uniqueId val="{00000000-C6CC-4505-A99B-33B2EB370E70}"/>
            </c:ext>
          </c:extLst>
        </c:ser>
        <c:ser>
          <c:idx val="8"/>
          <c:order val="8"/>
          <c:tx>
            <c:strRef>
              <c:f>Foaie1!$A$14</c:f>
              <c:strCache>
                <c:ptCount val="1"/>
                <c:pt idx="0">
                  <c:v>Own revenues-total/inhabitant</c:v>
                </c:pt>
              </c:strCache>
            </c:strRef>
          </c:tx>
          <c:spPr>
            <a:ln w="19050" cap="rnd" cmpd="sng" algn="ctr">
              <a:solidFill>
                <a:schemeClr val="accent3">
                  <a:lumMod val="60000"/>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Foaie1!$B$14:$J$14</c:f>
              <c:numCache>
                <c:formatCode>#,##0_ ;\-#,##0\ </c:formatCode>
                <c:ptCount val="9"/>
                <c:pt idx="0">
                  <c:v>2073.4893983008515</c:v>
                </c:pt>
                <c:pt idx="1">
                  <c:v>1306.586461795667</c:v>
                </c:pt>
                <c:pt idx="2">
                  <c:v>1177.5394287346724</c:v>
                </c:pt>
                <c:pt idx="3">
                  <c:v>1413.4427723971337</c:v>
                </c:pt>
                <c:pt idx="4">
                  <c:v>1674.9184885935922</c:v>
                </c:pt>
                <c:pt idx="5">
                  <c:v>2186.0021075604095</c:v>
                </c:pt>
                <c:pt idx="6">
                  <c:v>2467.5474905578835</c:v>
                </c:pt>
                <c:pt idx="7">
                  <c:v>2862.4057245223271</c:v>
                </c:pt>
                <c:pt idx="8">
                  <c:v>3303.725728058937</c:v>
                </c:pt>
              </c:numCache>
              <c:extLst/>
            </c:numRef>
          </c:val>
          <c:smooth val="0"/>
          <c:extLst>
            <c:ext xmlns:c16="http://schemas.microsoft.com/office/drawing/2014/chart" uri="{C3380CC4-5D6E-409C-BE32-E72D297353CC}">
              <c16:uniqueId val="{00000001-C6CC-4505-A99B-33B2EB370E70}"/>
            </c:ext>
          </c:extLst>
        </c:ser>
        <c:ser>
          <c:idx val="9"/>
          <c:order val="9"/>
          <c:tx>
            <c:strRef>
              <c:f>Foaie1!$A$15</c:f>
              <c:strCache>
                <c:ptCount val="1"/>
                <c:pt idx="0">
                  <c:v>Own taxes/inhabitant</c:v>
                </c:pt>
              </c:strCache>
            </c:strRef>
          </c:tx>
          <c:spPr>
            <a:ln w="19050" cap="rnd" cmpd="sng" algn="ctr">
              <a:solidFill>
                <a:schemeClr val="accent4">
                  <a:lumMod val="60000"/>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Foaie1!$B$15:$J$15</c:f>
              <c:numCache>
                <c:formatCode>#,##0_ ;\-#,##0\ </c:formatCode>
                <c:ptCount val="9"/>
                <c:pt idx="0">
                  <c:v>1150.0228457918768</c:v>
                </c:pt>
                <c:pt idx="1">
                  <c:v>734.90723907701272</c:v>
                </c:pt>
                <c:pt idx="2">
                  <c:v>621.07366085895558</c:v>
                </c:pt>
                <c:pt idx="3">
                  <c:v>687.81969607185988</c:v>
                </c:pt>
                <c:pt idx="4">
                  <c:v>798.18726873424703</c:v>
                </c:pt>
                <c:pt idx="5">
                  <c:v>921.17225320916577</c:v>
                </c:pt>
                <c:pt idx="6">
                  <c:v>986.23279906299126</c:v>
                </c:pt>
                <c:pt idx="7">
                  <c:v>1124.8679004621745</c:v>
                </c:pt>
                <c:pt idx="8">
                  <c:v>1310.9623609728862</c:v>
                </c:pt>
              </c:numCache>
              <c:extLst/>
            </c:numRef>
          </c:val>
          <c:smooth val="0"/>
          <c:extLst>
            <c:ext xmlns:c16="http://schemas.microsoft.com/office/drawing/2014/chart" uri="{C3380CC4-5D6E-409C-BE32-E72D297353CC}">
              <c16:uniqueId val="{00000002-C6CC-4505-A99B-33B2EB370E70}"/>
            </c:ext>
          </c:extLst>
        </c:ser>
        <c:ser>
          <c:idx val="10"/>
          <c:order val="10"/>
          <c:tx>
            <c:strRef>
              <c:f>Foaie1!$A$16</c:f>
              <c:strCache>
                <c:ptCount val="1"/>
                <c:pt idx="0">
                  <c:v>Shared revenues/inhabitant</c:v>
                </c:pt>
              </c:strCache>
            </c:strRef>
          </c:tx>
          <c:spPr>
            <a:ln w="19050" cap="rnd" cmpd="sng" algn="ctr">
              <a:solidFill>
                <a:schemeClr val="accent5">
                  <a:lumMod val="60000"/>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Foaie1!$B$16:$J$16</c:f>
              <c:numCache>
                <c:formatCode>#,##0_ ;\-#,##0\ </c:formatCode>
                <c:ptCount val="9"/>
                <c:pt idx="0">
                  <c:v>394.71108061722902</c:v>
                </c:pt>
                <c:pt idx="1">
                  <c:v>292.7412179075518</c:v>
                </c:pt>
                <c:pt idx="2">
                  <c:v>306.14405688616159</c:v>
                </c:pt>
                <c:pt idx="3">
                  <c:v>534.39878571220413</c:v>
                </c:pt>
                <c:pt idx="4">
                  <c:v>738.6851560965431</c:v>
                </c:pt>
                <c:pt idx="5">
                  <c:v>1155.1992363590934</c:v>
                </c:pt>
                <c:pt idx="6">
                  <c:v>1454.2499802702043</c:v>
                </c:pt>
                <c:pt idx="7">
                  <c:v>1736.7117508903593</c:v>
                </c:pt>
                <c:pt idx="8">
                  <c:v>1992.7633670860507</c:v>
                </c:pt>
              </c:numCache>
              <c:extLst/>
            </c:numRef>
          </c:val>
          <c:smooth val="0"/>
          <c:extLst>
            <c:ext xmlns:c16="http://schemas.microsoft.com/office/drawing/2014/chart" uri="{C3380CC4-5D6E-409C-BE32-E72D297353CC}">
              <c16:uniqueId val="{00000003-C6CC-4505-A99B-33B2EB370E70}"/>
            </c:ext>
          </c:extLst>
        </c:ser>
        <c:ser>
          <c:idx val="11"/>
          <c:order val="11"/>
          <c:tx>
            <c:strRef>
              <c:f>Foaie1!$A$17</c:f>
              <c:strCache>
                <c:ptCount val="1"/>
                <c:pt idx="0">
                  <c:v>Grants/inhabitant</c:v>
                </c:pt>
              </c:strCache>
            </c:strRef>
          </c:tx>
          <c:spPr>
            <a:ln w="19050" cap="rnd" cmpd="sng" algn="ctr">
              <a:solidFill>
                <a:schemeClr val="accent6">
                  <a:lumMod val="60000"/>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Foaie1!$B$17:$J$17</c:f>
              <c:numCache>
                <c:formatCode>#,##0_ ;\-#,##0\ </c:formatCode>
                <c:ptCount val="9"/>
                <c:pt idx="0">
                  <c:v>528.75547189174586</c:v>
                </c:pt>
                <c:pt idx="1">
                  <c:v>278.93800481110247</c:v>
                </c:pt>
                <c:pt idx="2">
                  <c:v>250.32171098955519</c:v>
                </c:pt>
                <c:pt idx="3">
                  <c:v>191.22429061306963</c:v>
                </c:pt>
                <c:pt idx="4">
                  <c:v>138.04606376280202</c:v>
                </c:pt>
                <c:pt idx="5">
                  <c:v>109.63061799215016</c:v>
                </c:pt>
                <c:pt idx="6">
                  <c:v>27.064711224687926</c:v>
                </c:pt>
                <c:pt idx="7">
                  <c:v>0.82607316979319723</c:v>
                </c:pt>
                <c:pt idx="8">
                  <c:v>0</c:v>
                </c:pt>
              </c:numCache>
              <c:extLst/>
            </c:numRef>
          </c:val>
          <c:smooth val="0"/>
          <c:extLst>
            <c:ext xmlns:c16="http://schemas.microsoft.com/office/drawing/2014/chart" uri="{C3380CC4-5D6E-409C-BE32-E72D297353CC}">
              <c16:uniqueId val="{00000004-C6CC-4505-A99B-33B2EB370E70}"/>
            </c:ext>
          </c:extLst>
        </c:ser>
        <c:ser>
          <c:idx val="15"/>
          <c:order val="15"/>
          <c:tx>
            <c:strRef>
              <c:f>Foaie1!$A$21</c:f>
              <c:strCache>
                <c:ptCount val="1"/>
                <c:pt idx="0">
                  <c:v>Wages/inhabitant</c:v>
                </c:pt>
              </c:strCache>
            </c:strRef>
          </c:tx>
          <c:spPr>
            <a:ln w="19050" cap="rnd" cmpd="sng" algn="ctr">
              <a:solidFill>
                <a:schemeClr val="accent4">
                  <a:lumMod val="80000"/>
                  <a:lumOff val="20000"/>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Foaie1!$B$21:$J$21</c:f>
              <c:numCache>
                <c:formatCode>#,##0_ ;\-#,##0\ </c:formatCode>
                <c:ptCount val="9"/>
                <c:pt idx="0">
                  <c:v>1184.5165998371212</c:v>
                </c:pt>
                <c:pt idx="1">
                  <c:v>849.52931355605153</c:v>
                </c:pt>
                <c:pt idx="2">
                  <c:v>709.36685011222562</c:v>
                </c:pt>
                <c:pt idx="3">
                  <c:v>679.48145086343959</c:v>
                </c:pt>
                <c:pt idx="4">
                  <c:v>739.78888186546067</c:v>
                </c:pt>
                <c:pt idx="5">
                  <c:v>715.61795571195069</c:v>
                </c:pt>
                <c:pt idx="6">
                  <c:v>785.93600343235812</c:v>
                </c:pt>
                <c:pt idx="7">
                  <c:v>601.91183768168821</c:v>
                </c:pt>
                <c:pt idx="8">
                  <c:v>592.36153234235087</c:v>
                </c:pt>
              </c:numCache>
              <c:extLst/>
            </c:numRef>
          </c:val>
          <c:smooth val="0"/>
          <c:extLst>
            <c:ext xmlns:c16="http://schemas.microsoft.com/office/drawing/2014/chart" uri="{C3380CC4-5D6E-409C-BE32-E72D297353CC}">
              <c16:uniqueId val="{00000005-C6CC-4505-A99B-33B2EB370E70}"/>
            </c:ext>
          </c:extLst>
        </c:ser>
        <c:ser>
          <c:idx val="16"/>
          <c:order val="16"/>
          <c:tx>
            <c:strRef>
              <c:f>Foaie1!$A$22</c:f>
              <c:strCache>
                <c:ptCount val="1"/>
                <c:pt idx="0">
                  <c:v>Expenditures with goods and services/inhabitant</c:v>
                </c:pt>
              </c:strCache>
            </c:strRef>
          </c:tx>
          <c:spPr>
            <a:ln w="19050" cap="rnd" cmpd="sng" algn="ctr">
              <a:solidFill>
                <a:schemeClr val="accent5">
                  <a:lumMod val="80000"/>
                  <a:lumOff val="20000"/>
                  <a:shade val="95000"/>
                  <a:satMod val="105000"/>
                </a:schemeClr>
              </a:solidFill>
              <a:round/>
            </a:ln>
            <a:effectLst/>
          </c:spPr>
          <c:marker>
            <c:symbol val="none"/>
          </c:marker>
          <c:cat>
            <c:strRef>
              <c:f>Foaie1!$B$4:$J$4</c:f>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extLst/>
            </c:strRef>
          </c:cat>
          <c:val>
            <c:numRef>
              <c:f>Foaie1!$B$22:$J$22</c:f>
              <c:numCache>
                <c:formatCode>#,##0_ ;\-#,##0\ </c:formatCode>
                <c:ptCount val="9"/>
                <c:pt idx="0">
                  <c:v>1059.6554336016234</c:v>
                </c:pt>
                <c:pt idx="1">
                  <c:v>715.9083918958703</c:v>
                </c:pt>
                <c:pt idx="2">
                  <c:v>643.80466099801856</c:v>
                </c:pt>
                <c:pt idx="3">
                  <c:v>704.48004747055757</c:v>
                </c:pt>
                <c:pt idx="4">
                  <c:v>807.74722328117571</c:v>
                </c:pt>
                <c:pt idx="5">
                  <c:v>995.37582571601092</c:v>
                </c:pt>
                <c:pt idx="6">
                  <c:v>1061.9842831820715</c:v>
                </c:pt>
                <c:pt idx="7">
                  <c:v>906.73216110408828</c:v>
                </c:pt>
                <c:pt idx="8">
                  <c:v>1440.3474477793677</c:v>
                </c:pt>
              </c:numCache>
              <c:extLst/>
            </c:numRef>
          </c:val>
          <c:smooth val="0"/>
          <c:extLst>
            <c:ext xmlns:c16="http://schemas.microsoft.com/office/drawing/2014/chart" uri="{C3380CC4-5D6E-409C-BE32-E72D297353CC}">
              <c16:uniqueId val="{00000006-C6CC-4505-A99B-33B2EB370E70}"/>
            </c:ext>
          </c:extLst>
        </c:ser>
        <c:dLbls>
          <c:showLegendKey val="0"/>
          <c:showVal val="0"/>
          <c:showCatName val="0"/>
          <c:showSerName val="0"/>
          <c:showPercent val="0"/>
          <c:showBubbleSize val="0"/>
        </c:dLbls>
        <c:smooth val="0"/>
        <c:axId val="678320528"/>
        <c:axId val="678318608"/>
        <c:extLst>
          <c:ext xmlns:c15="http://schemas.microsoft.com/office/drawing/2012/chart" uri="{02D57815-91ED-43cb-92C2-25804820EDAC}">
            <c15:filteredLineSeries>
              <c15:ser>
                <c:idx val="0"/>
                <c:order val="0"/>
                <c:tx>
                  <c:strRef>
                    <c:extLst>
                      <c:ext uri="{02D57815-91ED-43cb-92C2-25804820EDAC}">
                        <c15:formulaRef>
                          <c15:sqref>Foaie1!$A$5</c15:sqref>
                        </c15:formulaRef>
                      </c:ext>
                    </c:extLst>
                    <c:strCache>
                      <c:ptCount val="1"/>
                      <c:pt idx="0">
                        <c:v>Number of municipalities</c:v>
                      </c:pt>
                    </c:strCache>
                  </c:strRef>
                </c:tx>
                <c:spPr>
                  <a:ln w="19050" cap="rnd" cmpd="sng" algn="ctr">
                    <a:solidFill>
                      <a:schemeClr val="accent1">
                        <a:shade val="95000"/>
                        <a:satMod val="105000"/>
                      </a:schemeClr>
                    </a:solidFill>
                    <a:round/>
                  </a:ln>
                  <a:effectLst/>
                </c:spPr>
                <c:marker>
                  <c:symbol val="none"/>
                </c:marker>
                <c:cat>
                  <c:strRef>
                    <c:extLst>
                      <c:ex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c:ext uri="{02D57815-91ED-43cb-92C2-25804820EDAC}">
                        <c15:formulaRef>
                          <c15:sqref>Foaie1!$B$5:$J$5</c15:sqref>
                        </c15:formulaRef>
                      </c:ext>
                    </c:extLst>
                    <c:numCache>
                      <c:formatCode>#,##0_ ;\-#,##0\ </c:formatCode>
                      <c:ptCount val="9"/>
                      <c:pt idx="0">
                        <c:v>466</c:v>
                      </c:pt>
                      <c:pt idx="1">
                        <c:v>1195</c:v>
                      </c:pt>
                      <c:pt idx="2">
                        <c:v>840</c:v>
                      </c:pt>
                      <c:pt idx="3">
                        <c:v>464</c:v>
                      </c:pt>
                      <c:pt idx="4">
                        <c:v>122</c:v>
                      </c:pt>
                      <c:pt idx="5">
                        <c:v>52</c:v>
                      </c:pt>
                      <c:pt idx="6">
                        <c:v>24</c:v>
                      </c:pt>
                      <c:pt idx="7">
                        <c:v>10</c:v>
                      </c:pt>
                      <c:pt idx="8">
                        <c:v>7</c:v>
                      </c:pt>
                    </c:numCache>
                  </c:numRef>
                </c:val>
                <c:smooth val="0"/>
                <c:extLst>
                  <c:ext xmlns:c16="http://schemas.microsoft.com/office/drawing/2014/chart" uri="{C3380CC4-5D6E-409C-BE32-E72D297353CC}">
                    <c16:uniqueId val="{00000007-C6CC-4505-A99B-33B2EB370E7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Foaie1!$A$6</c15:sqref>
                        </c15:formulaRef>
                      </c:ext>
                    </c:extLst>
                    <c:strCache>
                      <c:ptCount val="1"/>
                      <c:pt idx="0">
                        <c:v>Population</c:v>
                      </c:pt>
                    </c:strCache>
                  </c:strRef>
                </c:tx>
                <c:spPr>
                  <a:ln w="19050" cap="rnd" cmpd="sng" algn="ctr">
                    <a:solidFill>
                      <a:schemeClr val="accent2">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Foaie1!$B$6:$J$6</c15:sqref>
                        </c15:formulaRef>
                      </c:ext>
                    </c:extLst>
                    <c:numCache>
                      <c:formatCode>#,##0_ ;\-#,##0\ </c:formatCode>
                      <c:ptCount val="9"/>
                      <c:pt idx="0">
                        <c:v>514493</c:v>
                      </c:pt>
                      <c:pt idx="1">
                        <c:v>2622268</c:v>
                      </c:pt>
                      <c:pt idx="2">
                        <c:v>3178418</c:v>
                      </c:pt>
                      <c:pt idx="3">
                        <c:v>3088230</c:v>
                      </c:pt>
                      <c:pt idx="4">
                        <c:v>1634213</c:v>
                      </c:pt>
                      <c:pt idx="5">
                        <c:v>1536848</c:v>
                      </c:pt>
                      <c:pt idx="6">
                        <c:v>1596570</c:v>
                      </c:pt>
                      <c:pt idx="7">
                        <c:v>1403366</c:v>
                      </c:pt>
                      <c:pt idx="8">
                        <c:v>1762426</c:v>
                      </c:pt>
                    </c:numCache>
                  </c:numRef>
                </c:val>
                <c:smooth val="0"/>
                <c:extLst xmlns:c15="http://schemas.microsoft.com/office/drawing/2012/chart">
                  <c:ext xmlns:c16="http://schemas.microsoft.com/office/drawing/2014/chart" uri="{C3380CC4-5D6E-409C-BE32-E72D297353CC}">
                    <c16:uniqueId val="{00000008-C6CC-4505-A99B-33B2EB370E7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Foaie1!$A$9</c15:sqref>
                        </c15:formulaRef>
                      </c:ext>
                    </c:extLst>
                    <c:strCache>
                      <c:ptCount val="1"/>
                      <c:pt idx="0">
                        <c:v>Total revenues</c:v>
                      </c:pt>
                    </c:strCache>
                  </c:strRef>
                </c:tx>
                <c:spPr>
                  <a:ln w="19050" cap="rnd" cmpd="sng" algn="ctr">
                    <a:solidFill>
                      <a:schemeClr val="accent4">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Foaie1!$B$9:$J$9</c15:sqref>
                        </c15:formulaRef>
                      </c:ext>
                    </c:extLst>
                    <c:numCache>
                      <c:formatCode>#,##0_ ;\-#,##0\ </c:formatCode>
                      <c:ptCount val="9"/>
                      <c:pt idx="0">
                        <c:v>2548671293</c:v>
                      </c:pt>
                      <c:pt idx="1">
                        <c:v>8854809072</c:v>
                      </c:pt>
                      <c:pt idx="2">
                        <c:v>9268340754</c:v>
                      </c:pt>
                      <c:pt idx="3">
                        <c:v>9066091448</c:v>
                      </c:pt>
                      <c:pt idx="4">
                        <c:v>5343655593</c:v>
                      </c:pt>
                      <c:pt idx="5">
                        <c:v>5323211960</c:v>
                      </c:pt>
                      <c:pt idx="6">
                        <c:v>6336918396</c:v>
                      </c:pt>
                      <c:pt idx="7">
                        <c:v>5890777499</c:v>
                      </c:pt>
                      <c:pt idx="8">
                        <c:v>8107567547</c:v>
                      </c:pt>
                    </c:numCache>
                  </c:numRef>
                </c:val>
                <c:smooth val="0"/>
                <c:extLst xmlns:c15="http://schemas.microsoft.com/office/drawing/2012/chart">
                  <c:ext xmlns:c16="http://schemas.microsoft.com/office/drawing/2014/chart" uri="{C3380CC4-5D6E-409C-BE32-E72D297353CC}">
                    <c16:uniqueId val="{00000009-C6CC-4505-A99B-33B2EB370E7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Foaie1!$A$10</c15:sqref>
                        </c15:formulaRef>
                      </c:ext>
                    </c:extLst>
                    <c:strCache>
                      <c:ptCount val="1"/>
                      <c:pt idx="0">
                        <c:v>Own revenues-total</c:v>
                      </c:pt>
                    </c:strCache>
                  </c:strRef>
                </c:tx>
                <c:spPr>
                  <a:ln w="19050" cap="rnd" cmpd="sng" algn="ctr">
                    <a:solidFill>
                      <a:schemeClr val="accent5">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Foaie1!$B$10:$J$10</c15:sqref>
                        </c15:formulaRef>
                      </c:ext>
                    </c:extLst>
                    <c:numCache>
                      <c:formatCode>#,##0</c:formatCode>
                      <c:ptCount val="9"/>
                      <c:pt idx="0" formatCode="#,##0_ ;\-#,##0\ ">
                        <c:v>1066795781</c:v>
                      </c:pt>
                      <c:pt idx="1">
                        <c:v>3426219868</c:v>
                      </c:pt>
                      <c:pt idx="2" formatCode="#,##0_ ;\-#,##0\ ">
                        <c:v>3742712516</c:v>
                      </c:pt>
                      <c:pt idx="3" formatCode="#,##0_ ;\-#,##0\ ">
                        <c:v>4365036373</c:v>
                      </c:pt>
                      <c:pt idx="4" formatCode="#,##0_ ;\-#,##0\ ">
                        <c:v>2737173568</c:v>
                      </c:pt>
                      <c:pt idx="5" formatCode="#,##0_ ;\-#,##0\ ">
                        <c:v>3359552967</c:v>
                      </c:pt>
                      <c:pt idx="6" formatCode="#,##0_ ;\-#,##0\ ">
                        <c:v>3939612297</c:v>
                      </c:pt>
                      <c:pt idx="7" formatCode="#,##0_ ;\-#,##0\ ">
                        <c:v>4017002872</c:v>
                      </c:pt>
                      <c:pt idx="8" formatCode="#,##0_ ;\-#,##0\ ">
                        <c:v>5822572120</c:v>
                      </c:pt>
                    </c:numCache>
                  </c:numRef>
                </c:val>
                <c:smooth val="0"/>
                <c:extLst xmlns:c15="http://schemas.microsoft.com/office/drawing/2012/chart">
                  <c:ext xmlns:c16="http://schemas.microsoft.com/office/drawing/2014/chart" uri="{C3380CC4-5D6E-409C-BE32-E72D297353CC}">
                    <c16:uniqueId val="{0000000A-C6CC-4505-A99B-33B2EB370E7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Foaie1!$A$11</c15:sqref>
                        </c15:formulaRef>
                      </c:ext>
                    </c:extLst>
                    <c:strCache>
                      <c:ptCount val="1"/>
                      <c:pt idx="0">
                        <c:v>Shared revenues from Personal Income Tax (PIT)</c:v>
                      </c:pt>
                    </c:strCache>
                  </c:strRef>
                </c:tx>
                <c:spPr>
                  <a:ln w="19050" cap="rnd" cmpd="sng" algn="ctr">
                    <a:solidFill>
                      <a:schemeClr val="accent6">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Foaie1!$B$11:$J$11</c15:sqref>
                        </c15:formulaRef>
                      </c:ext>
                    </c:extLst>
                    <c:numCache>
                      <c:formatCode>#,##0_ ;\-#,##0\ </c:formatCode>
                      <c:ptCount val="9"/>
                      <c:pt idx="0">
                        <c:v>203076088</c:v>
                      </c:pt>
                      <c:pt idx="1">
                        <c:v>767645928</c:v>
                      </c:pt>
                      <c:pt idx="2">
                        <c:v>973053781</c:v>
                      </c:pt>
                      <c:pt idx="3">
                        <c:v>1650346362</c:v>
                      </c:pt>
                      <c:pt idx="4">
                        <c:v>1207168885</c:v>
                      </c:pt>
                      <c:pt idx="5">
                        <c:v>1775365636</c:v>
                      </c:pt>
                      <c:pt idx="6">
                        <c:v>2321811891</c:v>
                      </c:pt>
                      <c:pt idx="7">
                        <c:v>2437242223</c:v>
                      </c:pt>
                      <c:pt idx="8">
                        <c:v>3512097970</c:v>
                      </c:pt>
                    </c:numCache>
                  </c:numRef>
                </c:val>
                <c:smooth val="0"/>
                <c:extLst xmlns:c15="http://schemas.microsoft.com/office/drawing/2012/chart">
                  <c:ext xmlns:c16="http://schemas.microsoft.com/office/drawing/2014/chart" uri="{C3380CC4-5D6E-409C-BE32-E72D297353CC}">
                    <c16:uniqueId val="{0000000B-C6CC-4505-A99B-33B2EB370E7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Foaie1!$A$12</c15:sqref>
                        </c15:formulaRef>
                      </c:ext>
                    </c:extLst>
                    <c:strCache>
                      <c:ptCount val="1"/>
                      <c:pt idx="0">
                        <c:v>Grants for balancing local budgets</c:v>
                      </c:pt>
                    </c:strCache>
                  </c:strRef>
                </c:tx>
                <c:spPr>
                  <a:ln w="19050" cap="rnd" cmpd="sng" algn="ctr">
                    <a:solidFill>
                      <a:schemeClr val="accent1">
                        <a:lumMod val="6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Foaie1!$B$12:$J$12</c15:sqref>
                        </c15:formulaRef>
                      </c:ext>
                    </c:extLst>
                    <c:numCache>
                      <c:formatCode>#,##0_ ;\-#,##0\ </c:formatCode>
                      <c:ptCount val="9"/>
                      <c:pt idx="0">
                        <c:v>272040989</c:v>
                      </c:pt>
                      <c:pt idx="1">
                        <c:v>731450204</c:v>
                      </c:pt>
                      <c:pt idx="2">
                        <c:v>795627032</c:v>
                      </c:pt>
                      <c:pt idx="3">
                        <c:v>590544591</c:v>
                      </c:pt>
                      <c:pt idx="4">
                        <c:v>225596672</c:v>
                      </c:pt>
                      <c:pt idx="5">
                        <c:v>168485596</c:v>
                      </c:pt>
                      <c:pt idx="6">
                        <c:v>43210706</c:v>
                      </c:pt>
                      <c:pt idx="7">
                        <c:v>1159283</c:v>
                      </c:pt>
                      <c:pt idx="8">
                        <c:v>0</c:v>
                      </c:pt>
                    </c:numCache>
                  </c:numRef>
                </c:val>
                <c:smooth val="0"/>
                <c:extLst xmlns:c15="http://schemas.microsoft.com/office/drawing/2012/chart">
                  <c:ext xmlns:c16="http://schemas.microsoft.com/office/drawing/2014/chart" uri="{C3380CC4-5D6E-409C-BE32-E72D297353CC}">
                    <c16:uniqueId val="{0000000C-C6CC-4505-A99B-33B2EB370E7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Foaie1!$A$13</c15:sqref>
                        </c15:formulaRef>
                      </c:ext>
                    </c:extLst>
                    <c:strCache>
                      <c:ptCount val="1"/>
                      <c:pt idx="0">
                        <c:v>Own taxes</c:v>
                      </c:pt>
                    </c:strCache>
                  </c:strRef>
                </c:tx>
                <c:spPr>
                  <a:ln w="19050" cap="rnd" cmpd="sng" algn="ctr">
                    <a:solidFill>
                      <a:schemeClr val="accent2">
                        <a:lumMod val="6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Foaie1!$B$13:$J$13</c15:sqref>
                        </c15:formulaRef>
                      </c:ext>
                    </c:extLst>
                    <c:numCache>
                      <c:formatCode>#,##0_ ;\-#,##0\ </c:formatCode>
                      <c:ptCount val="9"/>
                      <c:pt idx="0">
                        <c:v>591678704</c:v>
                      </c:pt>
                      <c:pt idx="1">
                        <c:v>1927123736</c:v>
                      </c:pt>
                      <c:pt idx="2">
                        <c:v>1974031703</c:v>
                      </c:pt>
                      <c:pt idx="3">
                        <c:v>2124145420</c:v>
                      </c:pt>
                      <c:pt idx="4">
                        <c:v>1304408011</c:v>
                      </c:pt>
                      <c:pt idx="5">
                        <c:v>1415701735</c:v>
                      </c:pt>
                      <c:pt idx="6">
                        <c:v>1574589700</c:v>
                      </c:pt>
                      <c:pt idx="7">
                        <c:v>1578601366</c:v>
                      </c:pt>
                      <c:pt idx="8">
                        <c:v>2310474150</c:v>
                      </c:pt>
                    </c:numCache>
                  </c:numRef>
                </c:val>
                <c:smooth val="0"/>
                <c:extLst xmlns:c15="http://schemas.microsoft.com/office/drawing/2012/chart">
                  <c:ext xmlns:c16="http://schemas.microsoft.com/office/drawing/2014/chart" uri="{C3380CC4-5D6E-409C-BE32-E72D297353CC}">
                    <c16:uniqueId val="{0000000D-C6CC-4505-A99B-33B2EB370E70}"/>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Foaie1!$A$18</c15:sqref>
                        </c15:formulaRef>
                      </c:ext>
                    </c:extLst>
                    <c:strCache>
                      <c:ptCount val="1"/>
                      <c:pt idx="0">
                        <c:v>Total expenditures</c:v>
                      </c:pt>
                    </c:strCache>
                  </c:strRef>
                </c:tx>
                <c:spPr>
                  <a:ln w="19050" cap="rnd" cmpd="sng" algn="ctr">
                    <a:solidFill>
                      <a:schemeClr val="accent1">
                        <a:lumMod val="80000"/>
                        <a:lumOff val="2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Foaie1!$B$18:$J$18</c15:sqref>
                        </c15:formulaRef>
                      </c:ext>
                    </c:extLst>
                    <c:numCache>
                      <c:formatCode>#,##0_ ;\-#,##0\ </c:formatCode>
                      <c:ptCount val="9"/>
                      <c:pt idx="0">
                        <c:v>2302069022</c:v>
                      </c:pt>
                      <c:pt idx="1">
                        <c:v>8498202583</c:v>
                      </c:pt>
                      <c:pt idx="2">
                        <c:v>8975201504</c:v>
                      </c:pt>
                      <c:pt idx="3">
                        <c:v>8893415430</c:v>
                      </c:pt>
                      <c:pt idx="4">
                        <c:v>5280907107</c:v>
                      </c:pt>
                      <c:pt idx="5">
                        <c:v>5304811497</c:v>
                      </c:pt>
                      <c:pt idx="6">
                        <c:v>6237657315</c:v>
                      </c:pt>
                      <c:pt idx="7">
                        <c:v>6034884699</c:v>
                      </c:pt>
                      <c:pt idx="8">
                        <c:v>8211694952</c:v>
                      </c:pt>
                    </c:numCache>
                  </c:numRef>
                </c:val>
                <c:smooth val="0"/>
                <c:extLst xmlns:c15="http://schemas.microsoft.com/office/drawing/2012/chart">
                  <c:ext xmlns:c16="http://schemas.microsoft.com/office/drawing/2014/chart" uri="{C3380CC4-5D6E-409C-BE32-E72D297353CC}">
                    <c16:uniqueId val="{0000000E-C6CC-4505-A99B-33B2EB370E70}"/>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Foaie1!$A$19</c15:sqref>
                        </c15:formulaRef>
                      </c:ext>
                    </c:extLst>
                    <c:strCache>
                      <c:ptCount val="1"/>
                      <c:pt idx="0">
                        <c:v>Wages</c:v>
                      </c:pt>
                    </c:strCache>
                  </c:strRef>
                </c:tx>
                <c:spPr>
                  <a:ln w="19050" cap="rnd" cmpd="sng" algn="ctr">
                    <a:solidFill>
                      <a:schemeClr val="accent2">
                        <a:lumMod val="80000"/>
                        <a:lumOff val="2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Foaie1!$B$19:$J$19</c15:sqref>
                        </c15:formulaRef>
                      </c:ext>
                    </c:extLst>
                    <c:numCache>
                      <c:formatCode>#,##0_ ;\-#,##0\ </c:formatCode>
                      <c:ptCount val="9"/>
                      <c:pt idx="0">
                        <c:v>609425499</c:v>
                      </c:pt>
                      <c:pt idx="1">
                        <c:v>2227693534</c:v>
                      </c:pt>
                      <c:pt idx="2">
                        <c:v>2254664365</c:v>
                      </c:pt>
                      <c:pt idx="3">
                        <c:v>2098395001</c:v>
                      </c:pt>
                      <c:pt idx="4">
                        <c:v>1208972608</c:v>
                      </c:pt>
                      <c:pt idx="5">
                        <c:v>1099796024</c:v>
                      </c:pt>
                      <c:pt idx="6">
                        <c:v>1254801845</c:v>
                      </c:pt>
                      <c:pt idx="7">
                        <c:v>844702608</c:v>
                      </c:pt>
                      <c:pt idx="8">
                        <c:v>1043993366</c:v>
                      </c:pt>
                    </c:numCache>
                  </c:numRef>
                </c:val>
                <c:smooth val="0"/>
                <c:extLst xmlns:c15="http://schemas.microsoft.com/office/drawing/2012/chart">
                  <c:ext xmlns:c16="http://schemas.microsoft.com/office/drawing/2014/chart" uri="{C3380CC4-5D6E-409C-BE32-E72D297353CC}">
                    <c16:uniqueId val="{0000000F-C6CC-4505-A99B-33B2EB370E70}"/>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Foaie1!$A$20</c15:sqref>
                        </c15:formulaRef>
                      </c:ext>
                    </c:extLst>
                    <c:strCache>
                      <c:ptCount val="1"/>
                      <c:pt idx="0">
                        <c:v>Expenditures with goods and services</c:v>
                      </c:pt>
                    </c:strCache>
                  </c:strRef>
                </c:tx>
                <c:spPr>
                  <a:ln w="19050" cap="rnd" cmpd="sng" algn="ctr">
                    <a:solidFill>
                      <a:schemeClr val="accent3">
                        <a:lumMod val="80000"/>
                        <a:lumOff val="2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Foaie1!$B$20:$J$20</c15:sqref>
                        </c15:formulaRef>
                      </c:ext>
                    </c:extLst>
                    <c:numCache>
                      <c:formatCode>#,##0_ ;\-#,##0\ </c:formatCode>
                      <c:ptCount val="9"/>
                      <c:pt idx="0">
                        <c:v>545185303</c:v>
                      </c:pt>
                      <c:pt idx="1">
                        <c:v>1877303667</c:v>
                      </c:pt>
                      <c:pt idx="2">
                        <c:v>2046280323</c:v>
                      </c:pt>
                      <c:pt idx="3">
                        <c:v>2175596417</c:v>
                      </c:pt>
                      <c:pt idx="4">
                        <c:v>1320031013</c:v>
                      </c:pt>
                      <c:pt idx="5">
                        <c:v>1529741347</c:v>
                      </c:pt>
                      <c:pt idx="6">
                        <c:v>1695532247</c:v>
                      </c:pt>
                      <c:pt idx="7">
                        <c:v>1272477086</c:v>
                      </c:pt>
                      <c:pt idx="8">
                        <c:v>2538505791</c:v>
                      </c:pt>
                    </c:numCache>
                  </c:numRef>
                </c:val>
                <c:smooth val="0"/>
                <c:extLst xmlns:c15="http://schemas.microsoft.com/office/drawing/2012/chart">
                  <c:ext xmlns:c16="http://schemas.microsoft.com/office/drawing/2014/chart" uri="{C3380CC4-5D6E-409C-BE32-E72D297353CC}">
                    <c16:uniqueId val="{00000010-C6CC-4505-A99B-33B2EB370E70}"/>
                  </c:ext>
                </c:extLst>
              </c15:ser>
            </c15:filteredLineSeries>
            <c15:filteredLineSeries>
              <c15:ser>
                <c:idx val="17"/>
                <c:order val="17"/>
                <c:tx>
                  <c:strRef>
                    <c:extLst xmlns:c15="http://schemas.microsoft.com/office/drawing/2012/chart">
                      <c:ext xmlns:c15="http://schemas.microsoft.com/office/drawing/2012/chart" uri="{02D57815-91ED-43cb-92C2-25804820EDAC}">
                        <c15:formulaRef>
                          <c15:sqref>Foaie1!#REF!</c15:sqref>
                        </c15:formulaRef>
                      </c:ext>
                    </c:extLst>
                    <c:strCache>
                      <c:ptCount val="1"/>
                      <c:pt idx="0">
                        <c:v>#REF!</c:v>
                      </c:pt>
                    </c:strCache>
                  </c:strRef>
                </c:tx>
                <c:spPr>
                  <a:ln w="19050" cap="rnd" cmpd="sng" algn="ctr">
                    <a:solidFill>
                      <a:schemeClr val="accent6">
                        <a:lumMod val="80000"/>
                        <a:lumOff val="2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11-C6CC-4505-A99B-33B2EB370E70}"/>
                  </c:ext>
                </c:extLst>
              </c15:ser>
            </c15:filteredLineSeries>
            <c15:filteredLineSeries>
              <c15:ser>
                <c:idx val="18"/>
                <c:order val="18"/>
                <c:tx>
                  <c:strRef>
                    <c:extLst xmlns:c15="http://schemas.microsoft.com/office/drawing/2012/chart">
                      <c:ext xmlns:c15="http://schemas.microsoft.com/office/drawing/2012/chart" uri="{02D57815-91ED-43cb-92C2-25804820EDAC}">
                        <c15:formulaRef>
                          <c15:sqref>Foaie1!#REF!</c15:sqref>
                        </c15:formulaRef>
                      </c:ext>
                    </c:extLst>
                    <c:strCache>
                      <c:ptCount val="1"/>
                      <c:pt idx="0">
                        <c:v>#REF!</c:v>
                      </c:pt>
                    </c:strCache>
                  </c:strRef>
                </c:tx>
                <c:spPr>
                  <a:ln w="19050" cap="rnd" cmpd="sng" algn="ctr">
                    <a:solidFill>
                      <a:schemeClr val="accent1">
                        <a:lumMod val="8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12-C6CC-4505-A99B-33B2EB370E70}"/>
                  </c:ext>
                </c:extLst>
              </c15:ser>
            </c15:filteredLineSeries>
            <c15:filteredLineSeries>
              <c15:ser>
                <c:idx val="19"/>
                <c:order val="19"/>
                <c:tx>
                  <c:strRef>
                    <c:extLst xmlns:c15="http://schemas.microsoft.com/office/drawing/2012/chart">
                      <c:ext xmlns:c15="http://schemas.microsoft.com/office/drawing/2012/chart" uri="{02D57815-91ED-43cb-92C2-25804820EDAC}">
                        <c15:formulaRef>
                          <c15:sqref>Foaie1!$A$23</c15:sqref>
                        </c15:formulaRef>
                      </c:ext>
                    </c:extLst>
                    <c:strCache>
                      <c:ptCount val="1"/>
                    </c:strCache>
                  </c:strRef>
                </c:tx>
                <c:spPr>
                  <a:ln w="19050" cap="rnd" cmpd="sng" algn="ctr">
                    <a:solidFill>
                      <a:schemeClr val="accent2">
                        <a:lumMod val="8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Foaie1!$B$23:$J$23</c15:sqref>
                        </c15:formulaRef>
                      </c:ext>
                    </c:extLst>
                    <c:numCache>
                      <c:formatCode>General</c:formatCode>
                      <c:ptCount val="9"/>
                    </c:numCache>
                  </c:numRef>
                </c:val>
                <c:smooth val="0"/>
                <c:extLst xmlns:c15="http://schemas.microsoft.com/office/drawing/2012/chart">
                  <c:ext xmlns:c16="http://schemas.microsoft.com/office/drawing/2014/chart" uri="{C3380CC4-5D6E-409C-BE32-E72D297353CC}">
                    <c16:uniqueId val="{00000013-C6CC-4505-A99B-33B2EB370E70}"/>
                  </c:ext>
                </c:extLst>
              </c15:ser>
            </c15:filteredLineSeries>
            <c15:filteredLineSeries>
              <c15:ser>
                <c:idx val="20"/>
                <c:order val="20"/>
                <c:tx>
                  <c:strRef>
                    <c:extLst xmlns:c15="http://schemas.microsoft.com/office/drawing/2012/chart">
                      <c:ext xmlns:c15="http://schemas.microsoft.com/office/drawing/2012/chart" uri="{02D57815-91ED-43cb-92C2-25804820EDAC}">
                        <c15:formulaRef>
                          <c15:sqref>Foaie1!$A$24</c15:sqref>
                        </c15:formulaRef>
                      </c:ext>
                    </c:extLst>
                    <c:strCache>
                      <c:ptCount val="1"/>
                    </c:strCache>
                  </c:strRef>
                </c:tx>
                <c:spPr>
                  <a:ln w="19050" cap="rnd" cmpd="sng" algn="ctr">
                    <a:solidFill>
                      <a:schemeClr val="accent3">
                        <a:lumMod val="80000"/>
                        <a:shade val="95000"/>
                        <a:satMod val="105000"/>
                      </a:schemeClr>
                    </a:solidFill>
                    <a:round/>
                  </a:ln>
                  <a:effectLst/>
                </c:spPr>
                <c:marker>
                  <c:symbol val="none"/>
                </c:marker>
                <c:cat>
                  <c:strRef>
                    <c:extLst xmlns:c15="http://schemas.microsoft.com/office/drawing/2012/chart">
                      <c:ext xmlns:c15="http://schemas.microsoft.com/office/drawing/2012/chart" uri="{02D57815-91ED-43cb-92C2-25804820EDAC}">
                        <c15:formulaRef>
                          <c15:sqref>Foaie1!$B$4:$J$4</c15:sqref>
                        </c15:formulaRef>
                      </c:ext>
                    </c:extLst>
                    <c:strCache>
                      <c:ptCount val="9"/>
                      <c:pt idx="0">
                        <c:v>Under 1500</c:v>
                      </c:pt>
                      <c:pt idx="1">
                        <c:v>1501-3000</c:v>
                      </c:pt>
                      <c:pt idx="2">
                        <c:v>3001-5000</c:v>
                      </c:pt>
                      <c:pt idx="3">
                        <c:v>5001-10000</c:v>
                      </c:pt>
                      <c:pt idx="4">
                        <c:v>10001-20000</c:v>
                      </c:pt>
                      <c:pt idx="5">
                        <c:v>20001-50000</c:v>
                      </c:pt>
                      <c:pt idx="6">
                        <c:v>50001-100000</c:v>
                      </c:pt>
                      <c:pt idx="7">
                        <c:v>100001-200000</c:v>
                      </c:pt>
                      <c:pt idx="8">
                        <c:v>200001-400000</c:v>
                      </c:pt>
                    </c:strCache>
                  </c:strRef>
                </c:cat>
                <c:val>
                  <c:numRef>
                    <c:extLst xmlns:c15="http://schemas.microsoft.com/office/drawing/2012/chart">
                      <c:ext xmlns:c15="http://schemas.microsoft.com/office/drawing/2012/chart" uri="{02D57815-91ED-43cb-92C2-25804820EDAC}">
                        <c15:formulaRef>
                          <c15:sqref>Foaie1!$B$24:$J$24</c15:sqref>
                        </c15:formulaRef>
                      </c:ext>
                    </c:extLst>
                    <c:numCache>
                      <c:formatCode>General</c:formatCode>
                      <c:ptCount val="9"/>
                    </c:numCache>
                  </c:numRef>
                </c:val>
                <c:smooth val="0"/>
                <c:extLst xmlns:c15="http://schemas.microsoft.com/office/drawing/2012/chart">
                  <c:ext xmlns:c16="http://schemas.microsoft.com/office/drawing/2014/chart" uri="{C3380CC4-5D6E-409C-BE32-E72D297353CC}">
                    <c16:uniqueId val="{00000014-C6CC-4505-A99B-33B2EB370E70}"/>
                  </c:ext>
                </c:extLst>
              </c15:ser>
            </c15:filteredLineSeries>
          </c:ext>
        </c:extLst>
      </c:lineChart>
      <c:catAx>
        <c:axId val="6783205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678318608"/>
        <c:crossesAt val="0"/>
        <c:auto val="1"/>
        <c:lblAlgn val="ctr"/>
        <c:lblOffset val="100"/>
        <c:noMultiLvlLbl val="0"/>
      </c:catAx>
      <c:valAx>
        <c:axId val="678318608"/>
        <c:scaling>
          <c:logBase val="10"/>
          <c:orientation val="minMax"/>
        </c:scaling>
        <c:delete val="0"/>
        <c:axPos val="l"/>
        <c:majorGridlines>
          <c:spPr>
            <a:ln>
              <a:solidFill>
                <a:schemeClr val="dk1">
                  <a:lumMod val="15000"/>
                  <a:lumOff val="85000"/>
                </a:schemeClr>
              </a:solidFill>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78320528"/>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{"storageType":"DocumentXmlStorage","descriptor":{"transcription":{"transcriptSegments":[{"text":"The translation is.","language":"en","start":0.11,"end":1.09,"speakerId":0},{"text":"Process.","language":"en","start":1.5699999999999998,"end":2.05},{"text":"Decentralization is the process of transferring.","language":"en","start":18.529999999999998,"end":21.729999999999997,"speakerId":0},{"text":"Range of powers.","language":"en","start":21.99,"end":23.11,"speakerId":0}],"speakerNames":[null]},"audioOneDriveItem":{"driveId":"b!KLwQ2-A9nEyreYF1xA_sgr2GSylKUuxLp_3eIjmwLyx3swj9yxQkTYcjLU6Uw5oe","itemId":"01ZRGCBEKJUJAZWRPIIVHLSKDIHWZTJ2MB"}}}</storedTranscription>
</file>

<file path=customXml/itemProps1.xml><?xml version="1.0" encoding="utf-8"?>
<ds:datastoreItem xmlns:ds="http://schemas.openxmlformats.org/officeDocument/2006/customXml" ds:itemID="{782B0638-37A1-4648-BB75-D29B9A5F5861}">
  <ds:schemaRefs>
    <ds:schemaRef ds:uri="http://schemas.openxmlformats.org/officeDocument/2006/bibliography"/>
  </ds:schemaRefs>
</ds:datastoreItem>
</file>

<file path=customXml/itemProps2.xml><?xml version="1.0" encoding="utf-8"?>
<ds:datastoreItem xmlns:ds="http://schemas.openxmlformats.org/officeDocument/2006/customXml" ds:itemID="{876B186E-0B8E-414B-AC4D-E032C1A7827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12625</TotalTime>
  <Pages>8</Pages>
  <Words>5180</Words>
  <Characters>29527</Characters>
  <Application>Microsoft Office Word</Application>
  <DocSecurity>0</DocSecurity>
  <Lines>246</Lines>
  <Paragraphs>69</Paragraphs>
  <ScaleCrop>false</ScaleCrop>
  <HeadingPairs>
    <vt:vector size="4" baseType="variant">
      <vt:variant>
        <vt:lpstr>Titlu</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Sergiu Țâra</cp:lastModifiedBy>
  <cp:revision>419</cp:revision>
  <dcterms:created xsi:type="dcterms:W3CDTF">2017-04-18T08:58:00Z</dcterms:created>
  <dcterms:modified xsi:type="dcterms:W3CDTF">2024-04-12T10:25:00Z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2024-02-21T13:52:14Z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304ed658-d833-47d5-a2e0-15b064b0e5c9</vt:lpwstr>
  </property>
  <property fmtid="{D5CDD505-2E9C-101B-9397-08002B2CF9AE}" pid="7" name="MSIP_Label_defa4170-0d19-0005-0004-bc88714345d2_ActionId">
    <vt:lpwstr>229ead43-7e2c-4599-b0bd-504362e1b01a</vt:lpwstr>
  </property>
  <property fmtid="{D5CDD505-2E9C-101B-9397-08002B2CF9AE}" pid="8" name="MSIP_Label_defa4170-0d19-0005-0004-bc88714345d2_ContentBits">
    <vt:lpwstr>0</vt:lpwstr>
  </property>
</Properties>
</file>