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1C2EE" w14:textId="77777777" w:rsidR="00767F3F" w:rsidRPr="00767F3F" w:rsidRDefault="00767F3F" w:rsidP="00767F3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67F3F">
        <w:rPr>
          <w:rFonts w:ascii="Times New Roman" w:hAnsi="Times New Roman" w:cs="Times New Roman"/>
          <w:b/>
          <w:bCs/>
          <w:sz w:val="24"/>
          <w:szCs w:val="24"/>
          <w:lang w:val="en" w:eastAsia="sk-SK"/>
        </w:rPr>
        <w:t>TECHNOLOGICAL PROGRESS AND THE TRANSFORMATION OF SOCIETY: PERSPECTIVES FOR INDIVIDUAL DEVELOPMENT</w:t>
      </w:r>
    </w:p>
    <w:p w14:paraId="1E813E0D" w14:textId="2374CA78" w:rsidR="00864330" w:rsidRPr="00C71AD0" w:rsidRDefault="00864330" w:rsidP="00767F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PhDr. Zuzana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Draková,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PhD.</w:t>
      </w:r>
    </w:p>
    <w:p w14:paraId="3FFBE2B4" w14:textId="77777777" w:rsidR="00176D8F" w:rsidRDefault="00176D8F" w:rsidP="00C71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7D4E4" w14:textId="62B0F080" w:rsidR="00C71AD0" w:rsidRPr="002D1F9A" w:rsidRDefault="00C71AD0" w:rsidP="00C71A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411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</w:p>
    <w:p w14:paraId="3A1DBA19" w14:textId="77777777" w:rsidR="00FF411F" w:rsidRPr="00FF411F" w:rsidRDefault="00FF411F" w:rsidP="00FF4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of society and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demographic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aging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of senior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aging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demographic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trend.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socio-economic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lifestyles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adapting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identifying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in society. At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analyzes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encounter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proposes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1F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FF411F">
        <w:rPr>
          <w:rFonts w:ascii="Times New Roman" w:hAnsi="Times New Roman" w:cs="Times New Roman"/>
          <w:sz w:val="24"/>
          <w:szCs w:val="24"/>
        </w:rPr>
        <w:t>.</w:t>
      </w:r>
    </w:p>
    <w:p w14:paraId="74FD504C" w14:textId="77777777" w:rsidR="003D7C1D" w:rsidRPr="009A1CE3" w:rsidRDefault="00176D8F" w:rsidP="009A1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CE3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9A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CE3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9A1C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7C1D" w:rsidRPr="009A1CE3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="003D7C1D" w:rsidRPr="009A1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C1D" w:rsidRPr="009A1CE3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="003D7C1D" w:rsidRPr="009A1CE3">
        <w:rPr>
          <w:rFonts w:ascii="Times New Roman" w:hAnsi="Times New Roman" w:cs="Times New Roman"/>
          <w:sz w:val="24"/>
          <w:szCs w:val="24"/>
        </w:rPr>
        <w:t xml:space="preserve"> of society, </w:t>
      </w:r>
      <w:proofErr w:type="spellStart"/>
      <w:r w:rsidR="003D7C1D" w:rsidRPr="009A1CE3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3D7C1D" w:rsidRPr="009A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C1D" w:rsidRPr="009A1CE3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="003D7C1D" w:rsidRPr="009A1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C1D" w:rsidRPr="009A1CE3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3D7C1D" w:rsidRPr="009A1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C1D" w:rsidRPr="009A1CE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3D7C1D" w:rsidRPr="009A1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C1D" w:rsidRPr="009A1CE3">
        <w:rPr>
          <w:rFonts w:ascii="Times New Roman" w:hAnsi="Times New Roman" w:cs="Times New Roman"/>
          <w:sz w:val="24"/>
          <w:szCs w:val="24"/>
        </w:rPr>
        <w:t>innovations</w:t>
      </w:r>
      <w:proofErr w:type="spellEnd"/>
    </w:p>
    <w:p w14:paraId="50A87D44" w14:textId="77777777" w:rsidR="00E8317D" w:rsidRDefault="00E8317D" w:rsidP="00C71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D69BB" w14:textId="77777777" w:rsidR="00F36307" w:rsidRPr="008635F0" w:rsidRDefault="00F36307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F0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3EE02E7" w14:textId="77777777" w:rsidR="00F36307" w:rsidRPr="008635F0" w:rsidRDefault="00F3630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humanity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reality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opens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door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moves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humanity forward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society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discoveries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witnessing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cornerstone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breakneck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lastRenderedPageBreak/>
        <w:t>many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flexibly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cyberbullying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responsibly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02171131" w14:textId="77777777" w:rsidR="00F36307" w:rsidRPr="008635F0" w:rsidRDefault="00F3630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incredible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25B5CC33" w14:textId="77777777" w:rsidR="008635F0" w:rsidRDefault="008635F0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3FA03" w14:textId="73808D33" w:rsidR="00F36307" w:rsidRPr="008635F0" w:rsidRDefault="00F36307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F0">
        <w:rPr>
          <w:rFonts w:ascii="Times New Roman" w:hAnsi="Times New Roman" w:cs="Times New Roman"/>
          <w:b/>
          <w:bCs/>
          <w:sz w:val="24"/>
          <w:szCs w:val="24"/>
        </w:rPr>
        <w:t>TECHNOLOGICAL PROGRESS IN THE CONTEXT OF SENIORS</w:t>
      </w:r>
    </w:p>
    <w:p w14:paraId="29F13375" w14:textId="77777777" w:rsidR="00F36307" w:rsidRPr="008635F0" w:rsidRDefault="00F3630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Demographic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aging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Zvěřová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(2022)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UN report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12% in 2030,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2050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16%.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aging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2100,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23%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over 65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point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Kalvach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et al. (2008)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doctor's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Čevela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et al. (2014)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adds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onset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long-lived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society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society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63FA5E16" w14:textId="77777777" w:rsidR="00F36307" w:rsidRPr="008635F0" w:rsidRDefault="00F3630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 change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opens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fears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witnessing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gradually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evidenced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Neumajer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et al. (2015),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perceive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co-create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society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3A1223B3" w14:textId="77777777" w:rsidR="00F36307" w:rsidRPr="008635F0" w:rsidRDefault="00F3630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Today's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Mobile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Internet and online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lastRenderedPageBreak/>
        <w:t>access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physically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mentally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conveniences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monitoring,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monitoring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(senior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sudden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nausea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etc.). Macková (2010)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Internet has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operator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2E3DCDA4" w14:textId="77777777" w:rsidR="00F36307" w:rsidRPr="008635F0" w:rsidRDefault="00F3630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understandable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accessible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segment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Ultimately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independently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Technologies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society.</w:t>
      </w:r>
    </w:p>
    <w:p w14:paraId="7F7DC926" w14:textId="77777777" w:rsidR="008635F0" w:rsidRDefault="008635F0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6CF7E" w14:textId="4A677EF1" w:rsidR="00F36307" w:rsidRPr="008635F0" w:rsidRDefault="00F36307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field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proofErr w:type="spellEnd"/>
    </w:p>
    <w:p w14:paraId="6452D01D" w14:textId="77777777" w:rsidR="00F36307" w:rsidRPr="008635F0" w:rsidRDefault="00F3630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end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achieving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level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Šimoník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(2005)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explains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accompanies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society,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a part.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Kalnický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(2009)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adds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gerontagogy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upbringing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gradually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andragogy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5F4A0A24" w14:textId="77777777" w:rsidR="00F36307" w:rsidRPr="008635F0" w:rsidRDefault="00F3630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part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today's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door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continuously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motivate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enrich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frequently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:</w:t>
      </w:r>
    </w:p>
    <w:p w14:paraId="67D6F85A" w14:textId="4EA9DCEE" w:rsidR="00F36307" w:rsidRPr="002D1F9A" w:rsidRDefault="00F36307" w:rsidP="002D1F9A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Online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platforms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are a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of online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webinars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guarantees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level of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>.</w:t>
      </w:r>
    </w:p>
    <w:p w14:paraId="3D0295CC" w14:textId="3E5DC6B1" w:rsidR="00F36307" w:rsidRPr="002D1F9A" w:rsidRDefault="00F36307" w:rsidP="002D1F9A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Virtual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universities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courses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>.</w:t>
      </w:r>
    </w:p>
    <w:p w14:paraId="27398BAD" w14:textId="5F1963E3" w:rsidR="00F36307" w:rsidRPr="002D1F9A" w:rsidRDefault="00F36307" w:rsidP="002D1F9A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Mobile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applications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1F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of mobile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>.</w:t>
      </w:r>
    </w:p>
    <w:p w14:paraId="65B03A25" w14:textId="6DF5D3E4" w:rsidR="00F36307" w:rsidRPr="002D1F9A" w:rsidRDefault="00F36307" w:rsidP="002D1F9A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Video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tutorials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webinars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are a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explanations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recordings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>.</w:t>
      </w:r>
    </w:p>
    <w:p w14:paraId="3D37D8D0" w14:textId="4CFD2F85" w:rsidR="00F36307" w:rsidRPr="002D1F9A" w:rsidRDefault="00F36307" w:rsidP="002D1F9A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media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 and online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communities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online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mutual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>.</w:t>
      </w:r>
    </w:p>
    <w:p w14:paraId="272C054D" w14:textId="77777777" w:rsidR="008635F0" w:rsidRDefault="008635F0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0D0C2" w14:textId="179AC2B3" w:rsidR="00F36307" w:rsidRPr="008635F0" w:rsidRDefault="00F36307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Health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area</w:t>
      </w:r>
      <w:proofErr w:type="spellEnd"/>
    </w:p>
    <w:p w14:paraId="15E59891" w14:textId="77777777" w:rsidR="00F36307" w:rsidRPr="008635F0" w:rsidRDefault="00F3630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:</w:t>
      </w:r>
    </w:p>
    <w:p w14:paraId="241AB058" w14:textId="5B0160FA" w:rsidR="00F36307" w:rsidRPr="00D205AD" w:rsidRDefault="00F36307" w:rsidP="00D205A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Telemedicine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doctor's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monitor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prescribing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prescription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e-mail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lastRenderedPageBreak/>
        <w:t>issue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prescription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senior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senior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>.</w:t>
      </w:r>
    </w:p>
    <w:p w14:paraId="63308DF0" w14:textId="3B679D54" w:rsidR="00F36307" w:rsidRPr="00D205AD" w:rsidRDefault="00F36307" w:rsidP="00D205A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Monitoring of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chronic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diseases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bracelets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monitor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rate,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senior.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status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alert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deviations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as diabetes,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hypertension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etc.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monitor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monitor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status.</w:t>
      </w:r>
    </w:p>
    <w:p w14:paraId="4E92C2AC" w14:textId="754C4E7F" w:rsidR="00424D47" w:rsidRPr="00D205AD" w:rsidRDefault="00424D47" w:rsidP="00D205A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Reminders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monitor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medication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regularity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reminders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dose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medication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reminders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appointments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notifications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improves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adherence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prescribed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bottles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notifications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remind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>.</w:t>
      </w:r>
    </w:p>
    <w:p w14:paraId="05FB8D27" w14:textId="4A219284" w:rsidR="00F33660" w:rsidRPr="00D205AD" w:rsidRDefault="00424D47" w:rsidP="00D205A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Memory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games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05AD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online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sharpness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alertness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5AD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D205AD">
        <w:rPr>
          <w:rFonts w:ascii="Times New Roman" w:hAnsi="Times New Roman" w:cs="Times New Roman"/>
          <w:sz w:val="24"/>
          <w:szCs w:val="24"/>
        </w:rPr>
        <w:t>.</w:t>
      </w:r>
    </w:p>
    <w:p w14:paraId="7A772574" w14:textId="77777777" w:rsidR="00424D47" w:rsidRPr="008635F0" w:rsidRDefault="00424D47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24AE4" w14:textId="77777777" w:rsidR="00424D47" w:rsidRPr="008635F0" w:rsidRDefault="00424D47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area</w:t>
      </w:r>
      <w:proofErr w:type="spellEnd"/>
    </w:p>
    <w:p w14:paraId="51CFF760" w14:textId="77777777" w:rsidR="00424D47" w:rsidRPr="008635F0" w:rsidRDefault="00424D47" w:rsidP="00D205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Technologies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unable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person/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physically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Draganová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et al. (2006)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325202F4" w14:textId="77777777" w:rsidR="00424D47" w:rsidRPr="008635F0" w:rsidRDefault="00424D47" w:rsidP="00D205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lastRenderedPageBreak/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combat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isolation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' sense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09DA0898" w14:textId="06915089" w:rsidR="00424D47" w:rsidRPr="002D1F9A" w:rsidRDefault="00424D47" w:rsidP="002D1F9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networks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applications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as Facebook, Instagram or LinkedIn to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as WhatsApp,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Telegram, Skype, MS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or Zoom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text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videos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>.</w:t>
      </w:r>
    </w:p>
    <w:p w14:paraId="00B6079A" w14:textId="70E8EBAD" w:rsidR="002E2FA0" w:rsidRPr="002D1F9A" w:rsidRDefault="00424D47" w:rsidP="002D1F9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communities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b/>
          <w:bCs/>
          <w:sz w:val="24"/>
          <w:szCs w:val="24"/>
        </w:rPr>
        <w:t>forums</w:t>
      </w:r>
      <w:proofErr w:type="spellEnd"/>
      <w:r w:rsidRPr="002D1F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forums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like-minded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hobbies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etc.).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mutual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 xml:space="preserve"> of new </w:t>
      </w:r>
      <w:proofErr w:type="spellStart"/>
      <w:r w:rsidRPr="002D1F9A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2D1F9A">
        <w:rPr>
          <w:rFonts w:ascii="Times New Roman" w:hAnsi="Times New Roman" w:cs="Times New Roman"/>
          <w:sz w:val="24"/>
          <w:szCs w:val="24"/>
        </w:rPr>
        <w:t>.</w:t>
      </w:r>
    </w:p>
    <w:p w14:paraId="2378EB55" w14:textId="77777777" w:rsidR="00424D47" w:rsidRPr="008635F0" w:rsidRDefault="00424D47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6970" w14:textId="77777777" w:rsidR="00424D47" w:rsidRPr="008635F0" w:rsidRDefault="00424D47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F0">
        <w:rPr>
          <w:rFonts w:ascii="Times New Roman" w:hAnsi="Times New Roman" w:cs="Times New Roman"/>
          <w:b/>
          <w:bCs/>
          <w:sz w:val="24"/>
          <w:szCs w:val="24"/>
        </w:rPr>
        <w:t>RESEARCH METHODOLOGY AND RESULTS</w:t>
      </w:r>
    </w:p>
    <w:p w14:paraId="4D7BE6D9" w14:textId="77777777" w:rsidR="00424D47" w:rsidRPr="008635F0" w:rsidRDefault="00424D4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over 65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Trnava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self-governing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735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questionnaires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619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returns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reluctance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misunderstanding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inability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2553E1BC" w14:textId="77777777" w:rsidR="00424D47" w:rsidRPr="00424D47" w:rsidRDefault="00424D47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D2BE5" w14:textId="77777777" w:rsidR="00424D47" w:rsidRDefault="00424D47" w:rsidP="00424D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4D47">
        <w:rPr>
          <w:rFonts w:ascii="Times New Roman" w:hAnsi="Times New Roman" w:cs="Times New Roman"/>
          <w:b/>
          <w:bCs/>
          <w:sz w:val="24"/>
          <w:szCs w:val="24"/>
        </w:rPr>
        <w:t>Graph</w:t>
      </w:r>
      <w:proofErr w:type="spellEnd"/>
      <w:r w:rsidRPr="00424D47">
        <w:rPr>
          <w:rFonts w:ascii="Times New Roman" w:hAnsi="Times New Roman" w:cs="Times New Roman"/>
          <w:b/>
          <w:bCs/>
          <w:sz w:val="24"/>
          <w:szCs w:val="24"/>
        </w:rPr>
        <w:t xml:space="preserve"> 1 – </w:t>
      </w:r>
      <w:proofErr w:type="spellStart"/>
      <w:r w:rsidRPr="00424D47">
        <w:rPr>
          <w:rFonts w:ascii="Times New Roman" w:hAnsi="Times New Roman" w:cs="Times New Roman"/>
          <w:b/>
          <w:bCs/>
          <w:sz w:val="24"/>
          <w:szCs w:val="24"/>
        </w:rPr>
        <w:t>Gender</w:t>
      </w:r>
      <w:proofErr w:type="spellEnd"/>
      <w:r w:rsidRPr="00424D47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424D47">
        <w:rPr>
          <w:rFonts w:ascii="Times New Roman" w:hAnsi="Times New Roman" w:cs="Times New Roman"/>
          <w:b/>
          <w:bCs/>
          <w:sz w:val="24"/>
          <w:szCs w:val="24"/>
        </w:rPr>
        <w:t>respondents</w:t>
      </w:r>
      <w:proofErr w:type="spellEnd"/>
    </w:p>
    <w:p w14:paraId="04AF9E3E" w14:textId="748DDE7C" w:rsidR="00D1092B" w:rsidRDefault="00DD084A" w:rsidP="00424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1A964F" wp14:editId="41FDA8CE">
            <wp:extent cx="5486400" cy="3200400"/>
            <wp:effectExtent l="0" t="0" r="0" b="0"/>
            <wp:docPr id="1269243240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F769461" w14:textId="5ED41E42" w:rsidR="00424D47" w:rsidRPr="008635F0" w:rsidRDefault="00424D47" w:rsidP="00424D4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24D47">
        <w:rPr>
          <w:rFonts w:ascii="Times New Roman" w:hAnsi="Times New Roman" w:cs="Times New Roman"/>
          <w:i/>
          <w:iCs/>
          <w:sz w:val="24"/>
          <w:szCs w:val="24"/>
        </w:rPr>
        <w:t>Source</w:t>
      </w:r>
      <w:proofErr w:type="spellEnd"/>
      <w:r w:rsidRPr="00424D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24D47">
        <w:rPr>
          <w:rFonts w:ascii="Times New Roman" w:hAnsi="Times New Roman" w:cs="Times New Roman"/>
          <w:i/>
          <w:iCs/>
          <w:sz w:val="24"/>
          <w:szCs w:val="24"/>
        </w:rPr>
        <w:t>author's</w:t>
      </w:r>
      <w:proofErr w:type="spellEnd"/>
      <w:r w:rsidRPr="00424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47">
        <w:rPr>
          <w:rFonts w:ascii="Times New Roman" w:hAnsi="Times New Roman" w:cs="Times New Roman"/>
          <w:i/>
          <w:iCs/>
          <w:sz w:val="24"/>
          <w:szCs w:val="24"/>
        </w:rPr>
        <w:t>own</w:t>
      </w:r>
      <w:proofErr w:type="spellEnd"/>
      <w:r w:rsidRPr="00424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47">
        <w:rPr>
          <w:rFonts w:ascii="Times New Roman" w:hAnsi="Times New Roman" w:cs="Times New Roman"/>
          <w:i/>
          <w:iCs/>
          <w:sz w:val="24"/>
          <w:szCs w:val="24"/>
        </w:rPr>
        <w:t>processing</w:t>
      </w:r>
      <w:proofErr w:type="spellEnd"/>
      <w:r w:rsidRPr="00424D47">
        <w:rPr>
          <w:rFonts w:ascii="Times New Roman" w:hAnsi="Times New Roman" w:cs="Times New Roman"/>
          <w:i/>
          <w:iCs/>
          <w:sz w:val="24"/>
          <w:szCs w:val="24"/>
        </w:rPr>
        <w:t>, 2024</w:t>
      </w:r>
    </w:p>
    <w:p w14:paraId="04FC4168" w14:textId="632726A0" w:rsidR="00F65C57" w:rsidRPr="00424D47" w:rsidRDefault="00424D47" w:rsidP="00424D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D47">
        <w:rPr>
          <w:rFonts w:ascii="Times New Roman" w:hAnsi="Times New Roman" w:cs="Times New Roman"/>
          <w:b/>
          <w:bCs/>
          <w:sz w:val="24"/>
          <w:szCs w:val="24"/>
        </w:rPr>
        <w:t xml:space="preserve">Table 1 - </w:t>
      </w:r>
      <w:proofErr w:type="spellStart"/>
      <w:r w:rsidRPr="00424D47">
        <w:rPr>
          <w:rFonts w:ascii="Times New Roman" w:hAnsi="Times New Roman" w:cs="Times New Roman"/>
          <w:b/>
          <w:bCs/>
          <w:sz w:val="24"/>
          <w:szCs w:val="24"/>
        </w:rPr>
        <w:t>Use</w:t>
      </w:r>
      <w:proofErr w:type="spellEnd"/>
      <w:r w:rsidRPr="00424D47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424D47">
        <w:rPr>
          <w:rFonts w:ascii="Times New Roman" w:hAnsi="Times New Roman" w:cs="Times New Roman"/>
          <w:b/>
          <w:bCs/>
          <w:sz w:val="24"/>
          <w:szCs w:val="24"/>
        </w:rPr>
        <w:t>modern</w:t>
      </w:r>
      <w:proofErr w:type="spellEnd"/>
      <w:r w:rsidRPr="0042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47">
        <w:rPr>
          <w:rFonts w:ascii="Times New Roman" w:hAnsi="Times New Roman" w:cs="Times New Roman"/>
          <w:b/>
          <w:bCs/>
          <w:sz w:val="24"/>
          <w:szCs w:val="24"/>
        </w:rPr>
        <w:t>technologies</w:t>
      </w:r>
      <w:proofErr w:type="spellEnd"/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8"/>
        <w:gridCol w:w="2675"/>
        <w:gridCol w:w="1279"/>
      </w:tblGrid>
      <w:tr w:rsidR="00E64EE3" w14:paraId="4DF74743" w14:textId="77777777" w:rsidTr="007E0392"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1A983" w:themeFill="accent2" w:themeFillTint="99"/>
          </w:tcPr>
          <w:p w14:paraId="5CB95B7A" w14:textId="63FC47C1" w:rsidR="00E64EE3" w:rsidRPr="0009158A" w:rsidRDefault="00424D47" w:rsidP="000915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proofErr w:type="spellStart"/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proofErr w:type="spellEnd"/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</w:t>
            </w:r>
            <w:proofErr w:type="spellEnd"/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</w:t>
            </w:r>
            <w:proofErr w:type="spellEnd"/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technology</w:t>
            </w:r>
            <w:proofErr w:type="spellEnd"/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7E0392" w14:paraId="5D8F9687" w14:textId="77777777" w:rsidTr="00424D47">
        <w:tc>
          <w:tcPr>
            <w:tcW w:w="5088" w:type="dxa"/>
            <w:tcBorders>
              <w:top w:val="single" w:sz="12" w:space="0" w:color="auto"/>
            </w:tcBorders>
          </w:tcPr>
          <w:p w14:paraId="3E9CC10B" w14:textId="77777777" w:rsidR="007E0392" w:rsidRDefault="007E0392" w:rsidP="00977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</w:tcBorders>
          </w:tcPr>
          <w:p w14:paraId="1EA68888" w14:textId="773B02FA" w:rsidR="007E0392" w:rsidRPr="007E0392" w:rsidRDefault="00424D47" w:rsidP="002569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respondents</w:t>
            </w:r>
            <w:proofErr w:type="spellEnd"/>
          </w:p>
        </w:tc>
        <w:tc>
          <w:tcPr>
            <w:tcW w:w="1279" w:type="dxa"/>
            <w:tcBorders>
              <w:top w:val="single" w:sz="12" w:space="0" w:color="auto"/>
            </w:tcBorders>
          </w:tcPr>
          <w:p w14:paraId="75D09275" w14:textId="0003399E" w:rsidR="007E0392" w:rsidRPr="007E0392" w:rsidRDefault="007E0392" w:rsidP="002569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24D47" w14:paraId="70E31E06" w14:textId="77777777" w:rsidTr="00424D47">
        <w:tc>
          <w:tcPr>
            <w:tcW w:w="5088" w:type="dxa"/>
          </w:tcPr>
          <w:p w14:paraId="2275BD6B" w14:textId="5C902660" w:rsidR="00424D47" w:rsidRPr="002D1F9A" w:rsidRDefault="00424D47" w:rsidP="00424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on a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spellEnd"/>
          </w:p>
        </w:tc>
        <w:tc>
          <w:tcPr>
            <w:tcW w:w="2675" w:type="dxa"/>
          </w:tcPr>
          <w:p w14:paraId="19F070D0" w14:textId="0EC1B981" w:rsidR="00424D47" w:rsidRDefault="00424D47" w:rsidP="00424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279" w:type="dxa"/>
          </w:tcPr>
          <w:p w14:paraId="3824A538" w14:textId="73E82C34" w:rsidR="00424D47" w:rsidRDefault="00424D47" w:rsidP="00424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424D47" w14:paraId="178F7F76" w14:textId="77777777" w:rsidTr="00424D47">
        <w:tc>
          <w:tcPr>
            <w:tcW w:w="5088" w:type="dxa"/>
          </w:tcPr>
          <w:p w14:paraId="5403AD5C" w14:textId="76B18C4A" w:rsidR="00424D47" w:rsidRPr="002D1F9A" w:rsidRDefault="00424D47" w:rsidP="00424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occasionally</w:t>
            </w:r>
            <w:proofErr w:type="spellEnd"/>
          </w:p>
        </w:tc>
        <w:tc>
          <w:tcPr>
            <w:tcW w:w="2675" w:type="dxa"/>
          </w:tcPr>
          <w:p w14:paraId="2C1E92E4" w14:textId="7AB5FE8B" w:rsidR="00424D47" w:rsidRDefault="00424D47" w:rsidP="00424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9" w:type="dxa"/>
          </w:tcPr>
          <w:p w14:paraId="2BF600F5" w14:textId="43691221" w:rsidR="00424D47" w:rsidRDefault="00424D47" w:rsidP="00424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424D47" w14:paraId="6510294E" w14:textId="77777777" w:rsidTr="00424D47">
        <w:tc>
          <w:tcPr>
            <w:tcW w:w="5088" w:type="dxa"/>
            <w:tcBorders>
              <w:bottom w:val="single" w:sz="12" w:space="0" w:color="auto"/>
            </w:tcBorders>
          </w:tcPr>
          <w:p w14:paraId="77199E24" w14:textId="3F7C0AA2" w:rsidR="00424D47" w:rsidRPr="002D1F9A" w:rsidRDefault="00424D47" w:rsidP="00424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No, I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don't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14:paraId="2CD4C7D6" w14:textId="34065A4C" w:rsidR="00424D47" w:rsidRDefault="00424D47" w:rsidP="00424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14:paraId="7A0320D9" w14:textId="53A9905F" w:rsidR="00424D47" w:rsidRDefault="00424D47" w:rsidP="00424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09158A" w14:paraId="0F893B0A" w14:textId="77777777" w:rsidTr="00424D47">
        <w:tc>
          <w:tcPr>
            <w:tcW w:w="5088" w:type="dxa"/>
            <w:tcBorders>
              <w:top w:val="single" w:sz="12" w:space="0" w:color="auto"/>
              <w:bottom w:val="single" w:sz="12" w:space="0" w:color="auto"/>
            </w:tcBorders>
          </w:tcPr>
          <w:p w14:paraId="3BCF8849" w14:textId="0AF35637" w:rsidR="0009158A" w:rsidRPr="0009158A" w:rsidRDefault="00424D47" w:rsidP="00977D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TOGETHER</w:t>
            </w:r>
          </w:p>
        </w:tc>
        <w:tc>
          <w:tcPr>
            <w:tcW w:w="2675" w:type="dxa"/>
            <w:tcBorders>
              <w:top w:val="single" w:sz="12" w:space="0" w:color="auto"/>
              <w:bottom w:val="single" w:sz="12" w:space="0" w:color="auto"/>
            </w:tcBorders>
          </w:tcPr>
          <w:p w14:paraId="23AC1C7B" w14:textId="45314FAE" w:rsidR="0009158A" w:rsidRPr="0009158A" w:rsidRDefault="00E65324" w:rsidP="00E653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14:paraId="1CCD6ADC" w14:textId="6B336E01" w:rsidR="0009158A" w:rsidRPr="0009158A" w:rsidRDefault="0009158A" w:rsidP="000915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1544EAED" w14:textId="77777777" w:rsidR="00424D47" w:rsidRPr="00424D47" w:rsidRDefault="00424D47" w:rsidP="00424D4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24D47">
        <w:rPr>
          <w:rFonts w:ascii="Times New Roman" w:hAnsi="Times New Roman" w:cs="Times New Roman"/>
          <w:i/>
          <w:iCs/>
          <w:sz w:val="24"/>
          <w:szCs w:val="24"/>
        </w:rPr>
        <w:t>Source</w:t>
      </w:r>
      <w:proofErr w:type="spellEnd"/>
      <w:r w:rsidRPr="00424D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24D47">
        <w:rPr>
          <w:rFonts w:ascii="Times New Roman" w:hAnsi="Times New Roman" w:cs="Times New Roman"/>
          <w:i/>
          <w:iCs/>
          <w:sz w:val="24"/>
          <w:szCs w:val="24"/>
        </w:rPr>
        <w:t>author's</w:t>
      </w:r>
      <w:proofErr w:type="spellEnd"/>
      <w:r w:rsidRPr="00424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47">
        <w:rPr>
          <w:rFonts w:ascii="Times New Roman" w:hAnsi="Times New Roman" w:cs="Times New Roman"/>
          <w:i/>
          <w:iCs/>
          <w:sz w:val="24"/>
          <w:szCs w:val="24"/>
        </w:rPr>
        <w:t>own</w:t>
      </w:r>
      <w:proofErr w:type="spellEnd"/>
      <w:r w:rsidRPr="00424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47">
        <w:rPr>
          <w:rFonts w:ascii="Times New Roman" w:hAnsi="Times New Roman" w:cs="Times New Roman"/>
          <w:i/>
          <w:iCs/>
          <w:sz w:val="24"/>
          <w:szCs w:val="24"/>
        </w:rPr>
        <w:t>processing</w:t>
      </w:r>
      <w:proofErr w:type="spellEnd"/>
      <w:r w:rsidRPr="00424D47">
        <w:rPr>
          <w:rFonts w:ascii="Times New Roman" w:hAnsi="Times New Roman" w:cs="Times New Roman"/>
          <w:i/>
          <w:iCs/>
          <w:sz w:val="24"/>
          <w:szCs w:val="24"/>
        </w:rPr>
        <w:t>, 2024</w:t>
      </w:r>
    </w:p>
    <w:p w14:paraId="50942CB5" w14:textId="77777777" w:rsidR="00424D47" w:rsidRDefault="00424D47" w:rsidP="00E33A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FCC1D" w14:textId="77777777" w:rsidR="00424D47" w:rsidRPr="008635F0" w:rsidRDefault="00424D4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evident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91%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564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63%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28%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occasionally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9%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73E624B6" w14:textId="77777777" w:rsidR="00424D47" w:rsidRPr="008635F0" w:rsidRDefault="00424D47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several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reasons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using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4F527A" w14:textId="5BED0321" w:rsidR="00424D47" w:rsidRPr="008635F0" w:rsidRDefault="00424D47" w:rsidP="008635F0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insufficient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adaptation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present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time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tablets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etc.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just sci-fi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fantasies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,</w:t>
      </w:r>
    </w:p>
    <w:p w14:paraId="5AEC1726" w14:textId="55F45228" w:rsidR="00424D47" w:rsidRPr="008635F0" w:rsidRDefault="00424D47" w:rsidP="008635F0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inability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use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modern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technologies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due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absent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senior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,</w:t>
      </w:r>
    </w:p>
    <w:p w14:paraId="2E4100CC" w14:textId="7F161914" w:rsidR="00424D47" w:rsidRPr="008635F0" w:rsidRDefault="00424D47" w:rsidP="008635F0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physical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limitations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or motor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,</w:t>
      </w:r>
    </w:p>
    <w:p w14:paraId="0EC84C7B" w14:textId="14D962C3" w:rsidR="00424D47" w:rsidRPr="008635F0" w:rsidRDefault="00424D47" w:rsidP="008635F0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lack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funds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or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,</w:t>
      </w:r>
    </w:p>
    <w:p w14:paraId="7987824F" w14:textId="19920B4E" w:rsidR="00424D47" w:rsidRPr="008635F0" w:rsidRDefault="00424D47" w:rsidP="008635F0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fear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unknown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intimidating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D205AD">
        <w:rPr>
          <w:rFonts w:ascii="Times New Roman" w:hAnsi="Times New Roman" w:cs="Times New Roman"/>
          <w:sz w:val="24"/>
          <w:szCs w:val="24"/>
        </w:rPr>
        <w:t>,</w:t>
      </w:r>
    </w:p>
    <w:p w14:paraId="1C1C2A8C" w14:textId="3BBD2EEF" w:rsidR="00424D47" w:rsidRPr="00D205AD" w:rsidRDefault="00424D47" w:rsidP="008635F0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lack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D205AD">
        <w:rPr>
          <w:rFonts w:ascii="Times New Roman" w:hAnsi="Times New Roman" w:cs="Times New Roman"/>
          <w:b/>
          <w:bCs/>
          <w:sz w:val="24"/>
          <w:szCs w:val="24"/>
        </w:rPr>
        <w:t>motivation</w:t>
      </w:r>
      <w:proofErr w:type="spellEnd"/>
      <w:r w:rsidRPr="00D205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 priority.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comfortable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postcards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, etc.)</w:t>
      </w:r>
      <w:r w:rsidR="00D205AD">
        <w:rPr>
          <w:rFonts w:ascii="Times New Roman" w:hAnsi="Times New Roman" w:cs="Times New Roman"/>
          <w:sz w:val="24"/>
          <w:szCs w:val="24"/>
        </w:rPr>
        <w:t>.</w:t>
      </w:r>
    </w:p>
    <w:p w14:paraId="130B0BBF" w14:textId="77777777" w:rsidR="00424D47" w:rsidRPr="008635F0" w:rsidRDefault="00424D4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do.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Tomczyk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society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paying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3CC473BD" w14:textId="77777777" w:rsidR="00424D47" w:rsidRPr="008635F0" w:rsidRDefault="00424D4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patience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suits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5798FB4A" w14:textId="77777777" w:rsidR="00424D47" w:rsidRPr="008635F0" w:rsidRDefault="00424D47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D39B9" w14:textId="77777777" w:rsidR="00424D47" w:rsidRPr="008635F0" w:rsidRDefault="00424D47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F0">
        <w:rPr>
          <w:rFonts w:ascii="Times New Roman" w:hAnsi="Times New Roman" w:cs="Times New Roman"/>
          <w:b/>
          <w:bCs/>
          <w:sz w:val="24"/>
          <w:szCs w:val="24"/>
        </w:rPr>
        <w:t>SUGGESTIONS AND RECOMMENDATIONS FOR PRACTICE</w:t>
      </w:r>
    </w:p>
    <w:p w14:paraId="01CC4102" w14:textId="77777777" w:rsidR="00424D47" w:rsidRPr="008635F0" w:rsidRDefault="00424D47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abilities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:</w:t>
      </w:r>
    </w:p>
    <w:p w14:paraId="3352A7C7" w14:textId="723E6DBD" w:rsidR="00424D47" w:rsidRPr="008635F0" w:rsidRDefault="00424D47" w:rsidP="008635F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Digital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literacy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trainings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pace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0704EA64" w14:textId="203561F1" w:rsidR="00424D47" w:rsidRPr="008635F0" w:rsidRDefault="00424D47" w:rsidP="008635F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lastRenderedPageBreak/>
        <w:t>Accessibility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technology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font,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interfaces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62A0B600" w14:textId="529C4AD3" w:rsidR="00424D47" w:rsidRPr="008635F0" w:rsidRDefault="00424D47" w:rsidP="008635F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Support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mutual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sharing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experiences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tricks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or online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forums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4A72F644" w14:textId="25DA315E" w:rsidR="00424D47" w:rsidRPr="008635F0" w:rsidRDefault="00424D47" w:rsidP="008635F0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Creation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digital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community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centers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volunteers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375E677E" w14:textId="77777777" w:rsidR="00424D47" w:rsidRPr="008635F0" w:rsidRDefault="00424D47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67B7A" w14:textId="77777777" w:rsidR="00424D47" w:rsidRPr="008635F0" w:rsidRDefault="00424D47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F0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027F3A4B" w14:textId="0D566816" w:rsidR="008635F0" w:rsidRPr="008635F0" w:rsidRDefault="008635F0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imperative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new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  <w:r w:rsid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proved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helper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F9A" w:rsidRPr="002D1F9A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2D1F9A" w:rsidRPr="002D1F9A">
        <w:rPr>
          <w:rFonts w:ascii="Times New Roman" w:hAnsi="Times New Roman" w:cs="Times New Roman"/>
          <w:sz w:val="24"/>
          <w:szCs w:val="24"/>
        </w:rPr>
        <w:t>.</w:t>
      </w:r>
    </w:p>
    <w:p w14:paraId="3E55A044" w14:textId="65EBF109" w:rsidR="001E7669" w:rsidRPr="008635F0" w:rsidRDefault="008635F0" w:rsidP="008635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dynamically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new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state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empathy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patience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educators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seniors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</w:t>
      </w:r>
    </w:p>
    <w:p w14:paraId="4F9248B7" w14:textId="77777777" w:rsidR="008635F0" w:rsidRDefault="008635F0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3BE38" w14:textId="261D5D55" w:rsidR="008635F0" w:rsidRPr="008635F0" w:rsidRDefault="008635F0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F0">
        <w:rPr>
          <w:rFonts w:ascii="Times New Roman" w:hAnsi="Times New Roman" w:cs="Times New Roman"/>
          <w:b/>
          <w:bCs/>
          <w:sz w:val="24"/>
          <w:szCs w:val="24"/>
        </w:rPr>
        <w:t>USED ​​SOURCES</w:t>
      </w:r>
    </w:p>
    <w:p w14:paraId="4596742D" w14:textId="13D6D69B" w:rsidR="00F34B49" w:rsidRPr="008635F0" w:rsidRDefault="00F34B49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 xml:space="preserve">1. ČEVELA, R. a kol. 2014.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gerontologie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: východiska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zdravotní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podpoře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zdraví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stáří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. Praha :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., 2014. 240 s. ISBN 978-80-247-4544-2.</w:t>
      </w:r>
    </w:p>
    <w:p w14:paraId="77D17088" w14:textId="2873FEC6" w:rsidR="0095444D" w:rsidRPr="008635F0" w:rsidRDefault="00F34B49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6478F" w:rsidRPr="008635F0">
        <w:rPr>
          <w:rFonts w:ascii="Times New Roman" w:hAnsi="Times New Roman" w:cs="Times New Roman"/>
          <w:sz w:val="24"/>
          <w:szCs w:val="24"/>
        </w:rPr>
        <w:t xml:space="preserve">. </w:t>
      </w:r>
      <w:r w:rsidR="0095444D" w:rsidRPr="008635F0">
        <w:rPr>
          <w:rFonts w:ascii="Times New Roman" w:hAnsi="Times New Roman" w:cs="Times New Roman"/>
          <w:sz w:val="24"/>
          <w:szCs w:val="24"/>
        </w:rPr>
        <w:t>DRAGANOVÁ, H. a kol. 2006. Sociálna starostlivosť. Martin : Osveta, 2006. 196 s. ISBN 978-80-8063-240-3.</w:t>
      </w:r>
    </w:p>
    <w:p w14:paraId="700F8511" w14:textId="2D302190" w:rsidR="00544D5A" w:rsidRPr="008635F0" w:rsidRDefault="00F34B49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>3</w:t>
      </w:r>
      <w:r w:rsidR="00D6478F" w:rsidRPr="008635F0">
        <w:rPr>
          <w:rFonts w:ascii="Times New Roman" w:hAnsi="Times New Roman" w:cs="Times New Roman"/>
          <w:sz w:val="24"/>
          <w:szCs w:val="24"/>
        </w:rPr>
        <w:t xml:space="preserve">. </w:t>
      </w:r>
      <w:r w:rsidR="00544D5A" w:rsidRPr="008635F0">
        <w:rPr>
          <w:rFonts w:ascii="Times New Roman" w:hAnsi="Times New Roman" w:cs="Times New Roman"/>
          <w:sz w:val="24"/>
          <w:szCs w:val="24"/>
        </w:rPr>
        <w:t xml:space="preserve">KALNICKÝ, J. 2009. Základy pedagogiky. Opava : </w:t>
      </w:r>
      <w:proofErr w:type="spellStart"/>
      <w:r w:rsidR="00544D5A" w:rsidRPr="008635F0">
        <w:rPr>
          <w:rFonts w:ascii="Times New Roman" w:hAnsi="Times New Roman" w:cs="Times New Roman"/>
          <w:sz w:val="24"/>
          <w:szCs w:val="24"/>
        </w:rPr>
        <w:t>Slezská</w:t>
      </w:r>
      <w:proofErr w:type="spellEnd"/>
      <w:r w:rsidR="00544D5A" w:rsidRPr="008635F0">
        <w:rPr>
          <w:rFonts w:ascii="Times New Roman" w:hAnsi="Times New Roman" w:cs="Times New Roman"/>
          <w:sz w:val="24"/>
          <w:szCs w:val="24"/>
        </w:rPr>
        <w:t xml:space="preserve"> univerzita, 2009. 117 s. ISBN 978-80-7248-543-7.</w:t>
      </w:r>
    </w:p>
    <w:p w14:paraId="31746E6B" w14:textId="166E18EB" w:rsidR="00D4690B" w:rsidRPr="008635F0" w:rsidRDefault="00F34B49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 xml:space="preserve">4. KALVACH, Z. a kol. 2008. Geriatrické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syndromy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a geriatrický pacient. Praha :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>., 2008. 336 s. ISBN 978-80-247-2490-4.</w:t>
      </w:r>
    </w:p>
    <w:p w14:paraId="1D585AF6" w14:textId="67C18ABD" w:rsidR="0033559F" w:rsidRPr="008635F0" w:rsidRDefault="00F34B49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>5</w:t>
      </w:r>
      <w:r w:rsidR="00D6478F" w:rsidRPr="008635F0">
        <w:rPr>
          <w:rFonts w:ascii="Times New Roman" w:hAnsi="Times New Roman" w:cs="Times New Roman"/>
          <w:sz w:val="24"/>
          <w:szCs w:val="24"/>
        </w:rPr>
        <w:t xml:space="preserve">. </w:t>
      </w:r>
      <w:r w:rsidR="0033559F" w:rsidRPr="008635F0">
        <w:rPr>
          <w:rFonts w:ascii="Times New Roman" w:hAnsi="Times New Roman" w:cs="Times New Roman"/>
          <w:sz w:val="24"/>
          <w:szCs w:val="24"/>
        </w:rPr>
        <w:t>MACKOVÁ, Z. 2010. Vzťah ako "droga". In: Aktuálne problémy drogovej závislosti v SR i v ďalších krajinách EÚ, zborník príspevkov. Bratislava : Centrum protidrogových a poradenských služieb EU, 2010. 62 s. ISBN 978-80-225-3044-6.</w:t>
      </w:r>
    </w:p>
    <w:p w14:paraId="6427C66B" w14:textId="69066D0B" w:rsidR="00D6478F" w:rsidRPr="008635F0" w:rsidRDefault="00F34B49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>6</w:t>
      </w:r>
      <w:r w:rsidR="00D6478F" w:rsidRPr="008635F0">
        <w:rPr>
          <w:rFonts w:ascii="Times New Roman" w:hAnsi="Times New Roman" w:cs="Times New Roman"/>
          <w:sz w:val="24"/>
          <w:szCs w:val="24"/>
        </w:rPr>
        <w:t xml:space="preserve">. NEUMAJER, O. a kol. 2015. Učíme </w:t>
      </w:r>
      <w:proofErr w:type="spellStart"/>
      <w:r w:rsidR="00D6478F" w:rsidRPr="008635F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D6478F" w:rsidRPr="008635F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6478F" w:rsidRPr="008635F0">
        <w:rPr>
          <w:rFonts w:ascii="Times New Roman" w:hAnsi="Times New Roman" w:cs="Times New Roman"/>
          <w:sz w:val="24"/>
          <w:szCs w:val="24"/>
        </w:rPr>
        <w:t>tabletem</w:t>
      </w:r>
      <w:proofErr w:type="spellEnd"/>
      <w:r w:rsidR="00D6478F" w:rsidRPr="008635F0">
        <w:rPr>
          <w:rFonts w:ascii="Times New Roman" w:hAnsi="Times New Roman" w:cs="Times New Roman"/>
          <w:sz w:val="24"/>
          <w:szCs w:val="24"/>
        </w:rPr>
        <w:t xml:space="preserve">. Praha : </w:t>
      </w:r>
      <w:proofErr w:type="spellStart"/>
      <w:r w:rsidR="00D6478F" w:rsidRPr="008635F0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="00D6478F"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8F" w:rsidRPr="008635F0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="00D6478F" w:rsidRPr="008635F0">
        <w:rPr>
          <w:rFonts w:ascii="Times New Roman" w:hAnsi="Times New Roman" w:cs="Times New Roman"/>
          <w:sz w:val="24"/>
          <w:szCs w:val="24"/>
        </w:rPr>
        <w:t>, 2015. 190 s. ISBN 978-80-7478-768-3.</w:t>
      </w:r>
    </w:p>
    <w:p w14:paraId="29933E9D" w14:textId="22926495" w:rsidR="00D6478F" w:rsidRPr="008635F0" w:rsidRDefault="00F34B49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>7</w:t>
      </w:r>
      <w:r w:rsidR="00D6478F" w:rsidRPr="008635F0">
        <w:rPr>
          <w:rFonts w:ascii="Times New Roman" w:hAnsi="Times New Roman" w:cs="Times New Roman"/>
          <w:sz w:val="24"/>
          <w:szCs w:val="24"/>
        </w:rPr>
        <w:t xml:space="preserve">. ŠIMONÍK, O. 2005. Úvod do didaktiky základní školy. Brno : MSD </w:t>
      </w:r>
      <w:proofErr w:type="spellStart"/>
      <w:r w:rsidR="00D6478F" w:rsidRPr="008635F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D6478F" w:rsidRPr="008635F0">
        <w:rPr>
          <w:rFonts w:ascii="Times New Roman" w:hAnsi="Times New Roman" w:cs="Times New Roman"/>
          <w:sz w:val="24"/>
          <w:szCs w:val="24"/>
        </w:rPr>
        <w:t>., 2005. 141 s. ISBN 978-80-8663-333-0.</w:t>
      </w:r>
    </w:p>
    <w:p w14:paraId="3A27A100" w14:textId="0135BDC2" w:rsidR="0033559F" w:rsidRPr="008635F0" w:rsidRDefault="00F34B49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>8</w:t>
      </w:r>
      <w:r w:rsidR="00D6478F" w:rsidRPr="008635F0">
        <w:rPr>
          <w:rFonts w:ascii="Times New Roman" w:hAnsi="Times New Roman" w:cs="Times New Roman"/>
          <w:sz w:val="24"/>
          <w:szCs w:val="24"/>
        </w:rPr>
        <w:t xml:space="preserve">. </w:t>
      </w:r>
      <w:r w:rsidR="00813F8E" w:rsidRPr="008635F0">
        <w:rPr>
          <w:rFonts w:ascii="Times New Roman" w:hAnsi="Times New Roman" w:cs="Times New Roman"/>
          <w:sz w:val="24"/>
          <w:szCs w:val="24"/>
        </w:rPr>
        <w:t xml:space="preserve">TOMCZYK, L. 2015. </w:t>
      </w:r>
      <w:proofErr w:type="spellStart"/>
      <w:r w:rsidR="00813F8E" w:rsidRPr="008635F0"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 w:rsidR="00813F8E"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F8E" w:rsidRPr="008635F0">
        <w:rPr>
          <w:rFonts w:ascii="Times New Roman" w:hAnsi="Times New Roman" w:cs="Times New Roman"/>
          <w:sz w:val="24"/>
          <w:szCs w:val="24"/>
        </w:rPr>
        <w:t>seniorů</w:t>
      </w:r>
      <w:proofErr w:type="spellEnd"/>
      <w:r w:rsidR="00813F8E" w:rsidRPr="008635F0">
        <w:rPr>
          <w:rFonts w:ascii="Times New Roman" w:hAnsi="Times New Roman" w:cs="Times New Roman"/>
          <w:sz w:val="24"/>
          <w:szCs w:val="24"/>
        </w:rPr>
        <w:t xml:space="preserve"> v oblasti nových médií. Praha : </w:t>
      </w:r>
      <w:proofErr w:type="spellStart"/>
      <w:r w:rsidR="00813F8E" w:rsidRPr="008635F0">
        <w:rPr>
          <w:rFonts w:ascii="Times New Roman" w:hAnsi="Times New Roman" w:cs="Times New Roman"/>
          <w:sz w:val="24"/>
          <w:szCs w:val="24"/>
        </w:rPr>
        <w:t>Asociace</w:t>
      </w:r>
      <w:proofErr w:type="spellEnd"/>
      <w:r w:rsidR="00813F8E"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F8E" w:rsidRPr="008635F0">
        <w:rPr>
          <w:rFonts w:ascii="Times New Roman" w:hAnsi="Times New Roman" w:cs="Times New Roman"/>
          <w:sz w:val="24"/>
          <w:szCs w:val="24"/>
        </w:rPr>
        <w:t>institucí</w:t>
      </w:r>
      <w:proofErr w:type="spellEnd"/>
      <w:r w:rsidR="00813F8E"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F8E" w:rsidRPr="008635F0"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 w:rsidR="00813F8E"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F8E" w:rsidRPr="008635F0">
        <w:rPr>
          <w:rFonts w:ascii="Times New Roman" w:hAnsi="Times New Roman" w:cs="Times New Roman"/>
          <w:sz w:val="24"/>
          <w:szCs w:val="24"/>
        </w:rPr>
        <w:t>dospělých</w:t>
      </w:r>
      <w:proofErr w:type="spellEnd"/>
      <w:r w:rsidR="00813F8E" w:rsidRPr="008635F0">
        <w:rPr>
          <w:rFonts w:ascii="Times New Roman" w:hAnsi="Times New Roman" w:cs="Times New Roman"/>
          <w:sz w:val="24"/>
          <w:szCs w:val="24"/>
        </w:rPr>
        <w:t xml:space="preserve"> ČR, 2015. s. ISBN 978-80-9045-319-7.</w:t>
      </w:r>
    </w:p>
    <w:p w14:paraId="515CC340" w14:textId="6E45B689" w:rsidR="00D4690B" w:rsidRPr="008635F0" w:rsidRDefault="00F34B49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 xml:space="preserve">9. </w:t>
      </w:r>
      <w:r w:rsidR="00D4690B" w:rsidRPr="008635F0">
        <w:rPr>
          <w:rFonts w:ascii="Times New Roman" w:hAnsi="Times New Roman" w:cs="Times New Roman"/>
          <w:sz w:val="24"/>
          <w:szCs w:val="24"/>
        </w:rPr>
        <w:t xml:space="preserve">ZVĚŘOVÁ, M. a kol. 2022. Gerontopsychiatrie v klinické praxi. Praha : </w:t>
      </w:r>
      <w:proofErr w:type="spellStart"/>
      <w:r w:rsidR="00D4690B" w:rsidRPr="008635F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D4690B"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90B" w:rsidRPr="008635F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D4690B" w:rsidRPr="00863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90B" w:rsidRPr="008635F0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D4690B" w:rsidRPr="008635F0">
        <w:rPr>
          <w:rFonts w:ascii="Times New Roman" w:hAnsi="Times New Roman" w:cs="Times New Roman"/>
          <w:sz w:val="24"/>
          <w:szCs w:val="24"/>
        </w:rPr>
        <w:t>., 2022. 272 s. ISBN 978-80-271-3465-6.</w:t>
      </w:r>
    </w:p>
    <w:p w14:paraId="051A6C07" w14:textId="77777777" w:rsidR="00E8317D" w:rsidRPr="008635F0" w:rsidRDefault="00E8317D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076FB" w14:textId="3F689E3E" w:rsidR="008635F0" w:rsidRPr="008635F0" w:rsidRDefault="008635F0" w:rsidP="008635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Contact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b/>
          <w:bCs/>
          <w:sz w:val="24"/>
          <w:szCs w:val="24"/>
        </w:rPr>
        <w:t>details</w:t>
      </w:r>
      <w:proofErr w:type="spellEnd"/>
      <w:r w:rsidRPr="008635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791953" w14:textId="6B8FC4DE" w:rsidR="00E8317D" w:rsidRPr="008635F0" w:rsidRDefault="00E8317D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 xml:space="preserve">PhDr. Zuzana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Draková,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PhD.</w:t>
      </w:r>
    </w:p>
    <w:p w14:paraId="2497B77D" w14:textId="77777777" w:rsidR="008635F0" w:rsidRPr="008635F0" w:rsidRDefault="008635F0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Sciences</w:t>
      </w:r>
      <w:proofErr w:type="spellEnd"/>
    </w:p>
    <w:p w14:paraId="34BB9AD5" w14:textId="77777777" w:rsidR="008635F0" w:rsidRPr="008635F0" w:rsidRDefault="008635F0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of St. Cyril and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Methodius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in Trnava</w:t>
      </w:r>
    </w:p>
    <w:p w14:paraId="5183431E" w14:textId="68A59E6D" w:rsidR="00E8317D" w:rsidRPr="008635F0" w:rsidRDefault="00E8317D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0">
        <w:rPr>
          <w:rFonts w:ascii="Times New Roman" w:hAnsi="Times New Roman" w:cs="Times New Roman"/>
          <w:sz w:val="24"/>
          <w:szCs w:val="24"/>
        </w:rPr>
        <w:t>Bučianska</w:t>
      </w:r>
      <w:proofErr w:type="spellEnd"/>
      <w:r w:rsidRPr="008635F0">
        <w:rPr>
          <w:rFonts w:ascii="Times New Roman" w:hAnsi="Times New Roman" w:cs="Times New Roman"/>
          <w:sz w:val="24"/>
          <w:szCs w:val="24"/>
        </w:rPr>
        <w:t xml:space="preserve"> 4/A, 917 01 Trnava</w:t>
      </w:r>
    </w:p>
    <w:p w14:paraId="3C95AB4E" w14:textId="77777777" w:rsidR="008635F0" w:rsidRPr="008635F0" w:rsidRDefault="008635F0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 xml:space="preserve">Slovak </w:t>
      </w:r>
      <w:proofErr w:type="spellStart"/>
      <w:r w:rsidRPr="008635F0">
        <w:rPr>
          <w:rFonts w:ascii="Times New Roman" w:hAnsi="Times New Roman" w:cs="Times New Roman"/>
          <w:sz w:val="24"/>
          <w:szCs w:val="24"/>
        </w:rPr>
        <w:t>republic</w:t>
      </w:r>
      <w:proofErr w:type="spellEnd"/>
    </w:p>
    <w:p w14:paraId="3E8FAE71" w14:textId="4FA65EF5" w:rsidR="00E8317D" w:rsidRPr="008635F0" w:rsidRDefault="00E8317D" w:rsidP="00863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5F0">
        <w:rPr>
          <w:rFonts w:ascii="Times New Roman" w:hAnsi="Times New Roman" w:cs="Times New Roman"/>
          <w:sz w:val="24"/>
          <w:szCs w:val="24"/>
        </w:rPr>
        <w:t>E-mail: zuzana.drakova@ucm.sk</w:t>
      </w:r>
    </w:p>
    <w:sectPr w:rsidR="00E8317D" w:rsidRPr="0086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B089B"/>
    <w:multiLevelType w:val="hybridMultilevel"/>
    <w:tmpl w:val="CB04F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6453"/>
    <w:multiLevelType w:val="hybridMultilevel"/>
    <w:tmpl w:val="D1C6163A"/>
    <w:lvl w:ilvl="0" w:tplc="2B223D8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4CD5"/>
    <w:multiLevelType w:val="hybridMultilevel"/>
    <w:tmpl w:val="4F3E57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17AD"/>
    <w:multiLevelType w:val="hybridMultilevel"/>
    <w:tmpl w:val="5274C53A"/>
    <w:lvl w:ilvl="0" w:tplc="BD2839B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28D1"/>
    <w:multiLevelType w:val="hybridMultilevel"/>
    <w:tmpl w:val="31FAC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48A4"/>
    <w:multiLevelType w:val="hybridMultilevel"/>
    <w:tmpl w:val="E77ACFD2"/>
    <w:lvl w:ilvl="0" w:tplc="FFF02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3DC9"/>
    <w:multiLevelType w:val="hybridMultilevel"/>
    <w:tmpl w:val="A87886A6"/>
    <w:lvl w:ilvl="0" w:tplc="3078DB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42C2"/>
    <w:multiLevelType w:val="hybridMultilevel"/>
    <w:tmpl w:val="163AF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F0E63"/>
    <w:multiLevelType w:val="hybridMultilevel"/>
    <w:tmpl w:val="C11E4B14"/>
    <w:lvl w:ilvl="0" w:tplc="96FCE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6814"/>
    <w:multiLevelType w:val="hybridMultilevel"/>
    <w:tmpl w:val="CA92DFEC"/>
    <w:lvl w:ilvl="0" w:tplc="B094B2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422A7"/>
    <w:multiLevelType w:val="hybridMultilevel"/>
    <w:tmpl w:val="1EB2F2A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755362"/>
    <w:multiLevelType w:val="hybridMultilevel"/>
    <w:tmpl w:val="313C2DE2"/>
    <w:lvl w:ilvl="0" w:tplc="A1E6790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B47D7"/>
    <w:multiLevelType w:val="hybridMultilevel"/>
    <w:tmpl w:val="0AF2462E"/>
    <w:lvl w:ilvl="0" w:tplc="59BABE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C58D1"/>
    <w:multiLevelType w:val="hybridMultilevel"/>
    <w:tmpl w:val="EEAE4D6E"/>
    <w:lvl w:ilvl="0" w:tplc="0696161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A4C9F"/>
    <w:multiLevelType w:val="hybridMultilevel"/>
    <w:tmpl w:val="86FC0692"/>
    <w:lvl w:ilvl="0" w:tplc="5A640D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7157"/>
    <w:multiLevelType w:val="multilevel"/>
    <w:tmpl w:val="C1A4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CF690B"/>
    <w:multiLevelType w:val="hybridMultilevel"/>
    <w:tmpl w:val="82E065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0292A"/>
    <w:multiLevelType w:val="hybridMultilevel"/>
    <w:tmpl w:val="E438F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A07C9"/>
    <w:multiLevelType w:val="hybridMultilevel"/>
    <w:tmpl w:val="7DE68424"/>
    <w:lvl w:ilvl="0" w:tplc="5F1E6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69476">
    <w:abstractNumId w:val="10"/>
  </w:num>
  <w:num w:numId="2" w16cid:durableId="783186868">
    <w:abstractNumId w:val="15"/>
  </w:num>
  <w:num w:numId="3" w16cid:durableId="2135557294">
    <w:abstractNumId w:val="3"/>
  </w:num>
  <w:num w:numId="4" w16cid:durableId="455492080">
    <w:abstractNumId w:val="13"/>
  </w:num>
  <w:num w:numId="5" w16cid:durableId="948508010">
    <w:abstractNumId w:val="6"/>
  </w:num>
  <w:num w:numId="6" w16cid:durableId="1844663815">
    <w:abstractNumId w:val="5"/>
  </w:num>
  <w:num w:numId="7" w16cid:durableId="1280530751">
    <w:abstractNumId w:val="0"/>
  </w:num>
  <w:num w:numId="8" w16cid:durableId="778528436">
    <w:abstractNumId w:val="8"/>
  </w:num>
  <w:num w:numId="9" w16cid:durableId="843784083">
    <w:abstractNumId w:val="7"/>
  </w:num>
  <w:num w:numId="10" w16cid:durableId="65421695">
    <w:abstractNumId w:val="17"/>
  </w:num>
  <w:num w:numId="11" w16cid:durableId="1169372247">
    <w:abstractNumId w:val="12"/>
  </w:num>
  <w:num w:numId="12" w16cid:durableId="922370556">
    <w:abstractNumId w:val="4"/>
  </w:num>
  <w:num w:numId="13" w16cid:durableId="1988969475">
    <w:abstractNumId w:val="9"/>
  </w:num>
  <w:num w:numId="14" w16cid:durableId="1871603947">
    <w:abstractNumId w:val="11"/>
  </w:num>
  <w:num w:numId="15" w16cid:durableId="358748599">
    <w:abstractNumId w:val="16"/>
  </w:num>
  <w:num w:numId="16" w16cid:durableId="813522215">
    <w:abstractNumId w:val="14"/>
  </w:num>
  <w:num w:numId="17" w16cid:durableId="1011569386">
    <w:abstractNumId w:val="18"/>
  </w:num>
  <w:num w:numId="18" w16cid:durableId="343630328">
    <w:abstractNumId w:val="1"/>
  </w:num>
  <w:num w:numId="19" w16cid:durableId="200392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DA6"/>
    <w:rsid w:val="00031F37"/>
    <w:rsid w:val="00066211"/>
    <w:rsid w:val="000735D2"/>
    <w:rsid w:val="0007676C"/>
    <w:rsid w:val="0009158A"/>
    <w:rsid w:val="00092371"/>
    <w:rsid w:val="000A2480"/>
    <w:rsid w:val="000B6940"/>
    <w:rsid w:val="000C15C4"/>
    <w:rsid w:val="000D0E46"/>
    <w:rsid w:val="000E51E8"/>
    <w:rsid w:val="000E73C3"/>
    <w:rsid w:val="001552C1"/>
    <w:rsid w:val="00172AA0"/>
    <w:rsid w:val="00176D8F"/>
    <w:rsid w:val="001C0599"/>
    <w:rsid w:val="001D1D51"/>
    <w:rsid w:val="001E7669"/>
    <w:rsid w:val="002156AC"/>
    <w:rsid w:val="00226F54"/>
    <w:rsid w:val="00256967"/>
    <w:rsid w:val="002D1F9A"/>
    <w:rsid w:val="002E2FA0"/>
    <w:rsid w:val="002F6DBA"/>
    <w:rsid w:val="00334737"/>
    <w:rsid w:val="0033559F"/>
    <w:rsid w:val="003562AD"/>
    <w:rsid w:val="003638EB"/>
    <w:rsid w:val="00366635"/>
    <w:rsid w:val="003945C1"/>
    <w:rsid w:val="003A674E"/>
    <w:rsid w:val="003D7C1D"/>
    <w:rsid w:val="003E52E1"/>
    <w:rsid w:val="003E5394"/>
    <w:rsid w:val="00420311"/>
    <w:rsid w:val="00424234"/>
    <w:rsid w:val="00424D47"/>
    <w:rsid w:val="004402E1"/>
    <w:rsid w:val="00455EE9"/>
    <w:rsid w:val="005135F2"/>
    <w:rsid w:val="00544D5A"/>
    <w:rsid w:val="00546A31"/>
    <w:rsid w:val="00574AFE"/>
    <w:rsid w:val="005812A7"/>
    <w:rsid w:val="00593453"/>
    <w:rsid w:val="005A15E2"/>
    <w:rsid w:val="005F0CD7"/>
    <w:rsid w:val="00603CD5"/>
    <w:rsid w:val="00636550"/>
    <w:rsid w:val="00637066"/>
    <w:rsid w:val="0066285D"/>
    <w:rsid w:val="00675330"/>
    <w:rsid w:val="006F38DC"/>
    <w:rsid w:val="0070212D"/>
    <w:rsid w:val="00702EFB"/>
    <w:rsid w:val="0071138E"/>
    <w:rsid w:val="0074538B"/>
    <w:rsid w:val="007548B8"/>
    <w:rsid w:val="00767CC3"/>
    <w:rsid w:val="00767F3F"/>
    <w:rsid w:val="00771668"/>
    <w:rsid w:val="00774D73"/>
    <w:rsid w:val="007C17A3"/>
    <w:rsid w:val="007E0392"/>
    <w:rsid w:val="007F4AF1"/>
    <w:rsid w:val="00813F8E"/>
    <w:rsid w:val="00820531"/>
    <w:rsid w:val="0085494C"/>
    <w:rsid w:val="008635F0"/>
    <w:rsid w:val="00864330"/>
    <w:rsid w:val="00874741"/>
    <w:rsid w:val="00880FEC"/>
    <w:rsid w:val="00886195"/>
    <w:rsid w:val="00886B88"/>
    <w:rsid w:val="008B43BD"/>
    <w:rsid w:val="008C6331"/>
    <w:rsid w:val="008D782D"/>
    <w:rsid w:val="008E2562"/>
    <w:rsid w:val="008E2F4A"/>
    <w:rsid w:val="008F7703"/>
    <w:rsid w:val="00913CDB"/>
    <w:rsid w:val="0095444D"/>
    <w:rsid w:val="00955CA1"/>
    <w:rsid w:val="0096072C"/>
    <w:rsid w:val="009767B9"/>
    <w:rsid w:val="00977DBC"/>
    <w:rsid w:val="009A1CE3"/>
    <w:rsid w:val="009D6567"/>
    <w:rsid w:val="00A07FB4"/>
    <w:rsid w:val="00A437FE"/>
    <w:rsid w:val="00A46634"/>
    <w:rsid w:val="00AA5ABD"/>
    <w:rsid w:val="00AF636E"/>
    <w:rsid w:val="00B10F15"/>
    <w:rsid w:val="00B119AF"/>
    <w:rsid w:val="00B45DCC"/>
    <w:rsid w:val="00BA21D9"/>
    <w:rsid w:val="00BB0EA2"/>
    <w:rsid w:val="00BC64F9"/>
    <w:rsid w:val="00BE509C"/>
    <w:rsid w:val="00C21878"/>
    <w:rsid w:val="00C33177"/>
    <w:rsid w:val="00C43599"/>
    <w:rsid w:val="00C71AD0"/>
    <w:rsid w:val="00C73859"/>
    <w:rsid w:val="00C84ED7"/>
    <w:rsid w:val="00C96783"/>
    <w:rsid w:val="00CB6F75"/>
    <w:rsid w:val="00CF4F01"/>
    <w:rsid w:val="00D1092B"/>
    <w:rsid w:val="00D10AE6"/>
    <w:rsid w:val="00D10DA6"/>
    <w:rsid w:val="00D14307"/>
    <w:rsid w:val="00D205AD"/>
    <w:rsid w:val="00D455CD"/>
    <w:rsid w:val="00D4690B"/>
    <w:rsid w:val="00D503D6"/>
    <w:rsid w:val="00D6478F"/>
    <w:rsid w:val="00D67917"/>
    <w:rsid w:val="00D80C05"/>
    <w:rsid w:val="00DA1D8A"/>
    <w:rsid w:val="00DC3F97"/>
    <w:rsid w:val="00DD084A"/>
    <w:rsid w:val="00DD206C"/>
    <w:rsid w:val="00DD6018"/>
    <w:rsid w:val="00DD68C2"/>
    <w:rsid w:val="00E16C7E"/>
    <w:rsid w:val="00E33AFD"/>
    <w:rsid w:val="00E37A1B"/>
    <w:rsid w:val="00E42411"/>
    <w:rsid w:val="00E42B86"/>
    <w:rsid w:val="00E52171"/>
    <w:rsid w:val="00E64EE3"/>
    <w:rsid w:val="00E65324"/>
    <w:rsid w:val="00E73E9D"/>
    <w:rsid w:val="00E8317D"/>
    <w:rsid w:val="00F002D9"/>
    <w:rsid w:val="00F01B38"/>
    <w:rsid w:val="00F10E9E"/>
    <w:rsid w:val="00F33660"/>
    <w:rsid w:val="00F34B49"/>
    <w:rsid w:val="00F36307"/>
    <w:rsid w:val="00F52D05"/>
    <w:rsid w:val="00F65C57"/>
    <w:rsid w:val="00F72AB9"/>
    <w:rsid w:val="00FB2B4A"/>
    <w:rsid w:val="00FB7C2B"/>
    <w:rsid w:val="00FF09F9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016C"/>
  <w15:docId w15:val="{D4B89A31-4C11-40C6-9CF7-F2F2756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10D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10D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10D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10D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10D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10D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10D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10D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10D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10D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10D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10D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10DA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10DA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10DA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10DA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10DA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10DA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10D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10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10D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10D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10D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10DA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10DA6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10DA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10D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10DA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10DA6"/>
    <w:rPr>
      <w:b/>
      <w:bCs/>
      <w:smallCaps/>
      <w:color w:val="0F4761" w:themeColor="accent1" w:themeShade="BF"/>
      <w:spacing w:val="5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7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7F3F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y2iqfc">
    <w:name w:val="y2iqfc"/>
    <w:basedOn w:val="Predvolenpsmoodseku"/>
    <w:rsid w:val="00767F3F"/>
  </w:style>
  <w:style w:type="table" w:styleId="Mriekatabuky">
    <w:name w:val="Table Grid"/>
    <w:basedOn w:val="Normlnatabuka"/>
    <w:uiPriority w:val="39"/>
    <w:rsid w:val="00E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9D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9D6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Pohlavie respondentov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3E3-45DB-AAE2-E546A6CC337F}"/>
              </c:ext>
            </c:extLst>
          </c:dPt>
          <c:dPt>
            <c:idx val="1"/>
            <c:bubble3D val="0"/>
            <c:spPr>
              <a:solidFill>
                <a:schemeClr val="tx2">
                  <a:lumMod val="75000"/>
                  <a:lumOff val="2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E3-45DB-AAE2-E546A6CC337F}"/>
              </c:ext>
            </c:extLst>
          </c:dPt>
          <c:dLbls>
            <c:dLbl>
              <c:idx val="0"/>
              <c:layout>
                <c:manualLayout>
                  <c:x val="-0.18589220618256061"/>
                  <c:y val="-0.1089726284214473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Women: </a:t>
                    </a:r>
                    <a:fld id="{62F183E7-1BCB-4395-87EF-7C54D3050808}" type="VALUE">
                      <a:rPr lang="en-US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[HODNOTA]</a:t>
                    </a:fld>
                    <a:endParaRPr lang="en-US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3E3-45DB-AAE2-E546A6CC337F}"/>
                </c:ext>
              </c:extLst>
            </c:dLbl>
            <c:dLbl>
              <c:idx val="1"/>
              <c:layout>
                <c:manualLayout>
                  <c:x val="0.18845308398950131"/>
                  <c:y val="5.43500812398449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Men: </a:t>
                    </a:r>
                    <a:fld id="{31B7B9CC-3750-4E49-AA8A-5973AA9126D0}" type="VALUE">
                      <a:rPr lang="en-US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[HODNOTA]</a:t>
                    </a:fld>
                    <a:endParaRPr lang="en-US" b="1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3E3-45DB-AAE2-E546A6CC33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Hárok1!$A$2:$A$3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371</c:v>
                </c:pt>
                <c:pt idx="1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3-45DB-AAE2-E546A6CC337F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DRAKOVÁ, Zuzana</dc:creator>
  <cp:keywords/>
  <dc:description/>
  <cp:lastModifiedBy>DRAKOVÁ, Zuzana</cp:lastModifiedBy>
  <cp:revision>76</cp:revision>
  <dcterms:created xsi:type="dcterms:W3CDTF">2024-02-25T20:53:00Z</dcterms:created>
  <dcterms:modified xsi:type="dcterms:W3CDTF">2024-04-14T22:05:00Z</dcterms:modified>
</cp:coreProperties>
</file>