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2DF9" w14:textId="77777777" w:rsidR="007D290F" w:rsidRPr="007D290F" w:rsidRDefault="007D290F" w:rsidP="0022253B">
      <w:pPr>
        <w:spacing w:after="0" w:line="240" w:lineRule="auto"/>
        <w:jc w:val="both"/>
        <w:rPr>
          <w:rFonts w:ascii="Times New Roman" w:eastAsia="Times New Roman" w:hAnsi="Times New Roman" w:cs="Times New Roman"/>
          <w:kern w:val="0"/>
          <w:sz w:val="28"/>
          <w:szCs w:val="28"/>
          <w14:ligatures w14:val="none"/>
        </w:rPr>
      </w:pPr>
      <w:r w:rsidRPr="007D290F">
        <w:rPr>
          <w:rFonts w:ascii="Times New Roman" w:eastAsia="Times New Roman" w:hAnsi="Times New Roman" w:cs="Times New Roman"/>
          <w:i/>
          <w:iCs/>
          <w:kern w:val="0"/>
          <w:sz w:val="28"/>
          <w:szCs w:val="28"/>
          <w14:ligatures w14:val="none"/>
        </w:rPr>
        <w:t>Liminality and Fashionable Concepts.</w:t>
      </w:r>
    </w:p>
    <w:p w14:paraId="7E8F8BD6" w14:textId="1E7245FC" w:rsidR="007D290F" w:rsidRPr="007D290F" w:rsidRDefault="007D290F" w:rsidP="0022253B">
      <w:pPr>
        <w:spacing w:after="0" w:line="24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The Use of International Relations Theories and Concepts</w:t>
      </w:r>
      <w:r w:rsidR="00997EBE">
        <w:rPr>
          <w:rFonts w:ascii="Times New Roman" w:eastAsia="Times New Roman" w:hAnsi="Times New Roman" w:cs="Times New Roman"/>
          <w:i/>
          <w:iCs/>
          <w:kern w:val="0"/>
          <w:sz w:val="24"/>
          <w:szCs w:val="24"/>
          <w14:ligatures w14:val="none"/>
        </w:rPr>
        <w:t xml:space="preserve"> in</w:t>
      </w:r>
      <w:r w:rsidRPr="007D290F">
        <w:rPr>
          <w:rFonts w:ascii="Times New Roman" w:eastAsia="Times New Roman" w:hAnsi="Times New Roman" w:cs="Times New Roman"/>
          <w:i/>
          <w:iCs/>
          <w:kern w:val="0"/>
          <w:sz w:val="24"/>
          <w:szCs w:val="24"/>
          <w14:ligatures w14:val="none"/>
        </w:rPr>
        <w:t xml:space="preserve"> Romania’s Strategies</w:t>
      </w:r>
    </w:p>
    <w:p w14:paraId="63F47D89" w14:textId="77777777" w:rsidR="007D290F" w:rsidRPr="007D290F" w:rsidRDefault="007D290F" w:rsidP="0022253B">
      <w:pPr>
        <w:spacing w:after="0" w:line="24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 xml:space="preserve">Radu-Alexandru </w:t>
      </w:r>
      <w:proofErr w:type="spellStart"/>
      <w:r w:rsidRPr="007D290F">
        <w:rPr>
          <w:rFonts w:ascii="Times New Roman" w:eastAsia="Times New Roman" w:hAnsi="Times New Roman" w:cs="Times New Roman"/>
          <w:i/>
          <w:iCs/>
          <w:kern w:val="0"/>
          <w:sz w:val="24"/>
          <w:szCs w:val="24"/>
          <w14:ligatures w14:val="none"/>
        </w:rPr>
        <w:t>Cucută</w:t>
      </w:r>
      <w:proofErr w:type="spellEnd"/>
    </w:p>
    <w:p w14:paraId="3580E715"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The paper argues that the employment of fashionable concepts, such as resilience and hybrid warfare, is increased in conditions of liminality. Romania’s geographic liminality, political liminality and epistemic liminality favors the employment of fashionable concepts and theories. Successive cycles of intellectual fashion do not result however in the replacement of older concepts and theories by newer ones, but in a multi-layered intellectual architecture.</w:t>
      </w:r>
    </w:p>
    <w:p w14:paraId="2D2DE334"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By analyzing the Romanian National Defense Strategy, the Romanian Military Strategy, the Defense White Paper, the paper attempts to trace out a map of the successive theoretical and conceptual influences exerted on Romanian strategic planning, to identify the meaning attached to these concepts and theories and the relation between them. The faults, inconsistencies and conceptual problems highlighted by the paper can be seen as both the result of the vagueness inherent in fashionable concepts and theories, as well as the result of their use in a self-perceived liminal position and of the attempt to build an internally consistent abstract system.</w:t>
      </w:r>
    </w:p>
    <w:p w14:paraId="5471FBCF"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Keywords: liminality, fashionable concepts, security, resilience, hybrid war</w:t>
      </w:r>
    </w:p>
    <w:p w14:paraId="17D9743E" w14:textId="77777777" w:rsidR="0022253B" w:rsidRDefault="0022253B" w:rsidP="0022253B">
      <w:pPr>
        <w:spacing w:after="0" w:line="240" w:lineRule="auto"/>
        <w:jc w:val="both"/>
        <w:rPr>
          <w:rFonts w:ascii="Times New Roman" w:eastAsia="Times New Roman" w:hAnsi="Times New Roman" w:cs="Times New Roman"/>
          <w:kern w:val="0"/>
          <w:sz w:val="24"/>
          <w:szCs w:val="24"/>
          <w14:ligatures w14:val="none"/>
        </w:rPr>
      </w:pPr>
    </w:p>
    <w:p w14:paraId="33D61DB3" w14:textId="79BB0C72" w:rsidR="007D290F" w:rsidRPr="007D290F" w:rsidRDefault="007D290F" w:rsidP="0022253B">
      <w:pPr>
        <w:spacing w:after="0" w:line="240" w:lineRule="auto"/>
        <w:jc w:val="both"/>
        <w:rPr>
          <w:rFonts w:ascii="Times New Roman" w:eastAsia="Times New Roman" w:hAnsi="Times New Roman" w:cs="Times New Roman"/>
          <w:kern w:val="0"/>
          <w14:ligatures w14:val="none"/>
        </w:rPr>
      </w:pPr>
      <w:r w:rsidRPr="007D290F">
        <w:rPr>
          <w:rFonts w:ascii="Times New Roman" w:eastAsia="Times New Roman" w:hAnsi="Times New Roman" w:cs="Times New Roman"/>
          <w:kern w:val="0"/>
          <w14:ligatures w14:val="none"/>
        </w:rPr>
        <w:t>Author description</w:t>
      </w:r>
    </w:p>
    <w:p w14:paraId="383E2C47" w14:textId="77777777" w:rsidR="007D290F" w:rsidRPr="007D290F" w:rsidRDefault="007D290F" w:rsidP="0022253B">
      <w:pPr>
        <w:spacing w:after="0" w:line="240" w:lineRule="auto"/>
        <w:jc w:val="both"/>
        <w:rPr>
          <w:rFonts w:ascii="Times New Roman" w:eastAsia="Times New Roman" w:hAnsi="Times New Roman" w:cs="Times New Roman"/>
          <w:kern w:val="0"/>
          <w14:ligatures w14:val="none"/>
        </w:rPr>
      </w:pPr>
      <w:r w:rsidRPr="007D290F">
        <w:rPr>
          <w:rFonts w:ascii="Times New Roman" w:eastAsia="Times New Roman" w:hAnsi="Times New Roman" w:cs="Times New Roman"/>
          <w:kern w:val="0"/>
          <w14:ligatures w14:val="none"/>
        </w:rPr>
        <w:t xml:space="preserve">Radu-Alexandru </w:t>
      </w:r>
      <w:proofErr w:type="spellStart"/>
      <w:r w:rsidRPr="007D290F">
        <w:rPr>
          <w:rFonts w:ascii="Times New Roman" w:eastAsia="Times New Roman" w:hAnsi="Times New Roman" w:cs="Times New Roman"/>
          <w:kern w:val="0"/>
          <w14:ligatures w14:val="none"/>
        </w:rPr>
        <w:t>Cucută</w:t>
      </w:r>
      <w:proofErr w:type="spellEnd"/>
      <w:r w:rsidRPr="007D290F">
        <w:rPr>
          <w:rFonts w:ascii="Times New Roman" w:eastAsia="Times New Roman" w:hAnsi="Times New Roman" w:cs="Times New Roman"/>
          <w:kern w:val="0"/>
          <w14:ligatures w14:val="none"/>
        </w:rPr>
        <w:t xml:space="preserve"> (b. 1985) is a lecturer with the Department of International Relations and European Integration, of the National University of Political Studies and Public Administration, teaching the Strategic Studies, African Studies and Political Philosophy of International Relations classes. His research interests are theories of revolution and theories of international relations. E-mail address: </w:t>
      </w:r>
      <w:hyperlink r:id="rId6" w:history="1">
        <w:r w:rsidRPr="007D290F">
          <w:rPr>
            <w:rFonts w:ascii="Times New Roman" w:eastAsia="Times New Roman" w:hAnsi="Times New Roman" w:cs="Times New Roman"/>
            <w:color w:val="0000FF"/>
            <w:kern w:val="0"/>
            <w:u w:val="single"/>
            <w14:ligatures w14:val="none"/>
          </w:rPr>
          <w:t>radu.cucuta@dri.snspa.ro</w:t>
        </w:r>
      </w:hyperlink>
    </w:p>
    <w:p w14:paraId="443567E0" w14:textId="77777777" w:rsidR="007D290F" w:rsidRPr="007D290F" w:rsidRDefault="007D290F" w:rsidP="0022253B">
      <w:pPr>
        <w:spacing w:after="0" w:line="240" w:lineRule="auto"/>
        <w:jc w:val="both"/>
        <w:rPr>
          <w:rFonts w:ascii="Times New Roman" w:eastAsia="Times New Roman" w:hAnsi="Times New Roman" w:cs="Times New Roman"/>
          <w:kern w:val="0"/>
          <w:sz w:val="24"/>
          <w:szCs w:val="24"/>
          <w14:ligatures w14:val="none"/>
        </w:rPr>
      </w:pPr>
    </w:p>
    <w:p w14:paraId="4FDECC2C" w14:textId="77777777" w:rsidR="007D290F" w:rsidRPr="007D290F" w:rsidRDefault="007D290F" w:rsidP="00AC2076">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Romanian Liminality</w:t>
      </w:r>
    </w:p>
    <w:p w14:paraId="314B9EFC"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Romania’s position can be described as a liminal one. The concept of liminality has an established origin in anthropology (Warner 1959; Van </w:t>
      </w:r>
      <w:proofErr w:type="spellStart"/>
      <w:r w:rsidRPr="007D290F">
        <w:rPr>
          <w:rFonts w:ascii="Times New Roman" w:eastAsia="Times New Roman" w:hAnsi="Times New Roman" w:cs="Times New Roman"/>
          <w:kern w:val="0"/>
          <w:sz w:val="24"/>
          <w:szCs w:val="24"/>
          <w14:ligatures w14:val="none"/>
        </w:rPr>
        <w:t>Gennep</w:t>
      </w:r>
      <w:proofErr w:type="spellEnd"/>
      <w:r w:rsidRPr="007D290F">
        <w:rPr>
          <w:rFonts w:ascii="Times New Roman" w:eastAsia="Times New Roman" w:hAnsi="Times New Roman" w:cs="Times New Roman"/>
          <w:kern w:val="0"/>
          <w:sz w:val="24"/>
          <w:szCs w:val="24"/>
          <w14:ligatures w14:val="none"/>
        </w:rPr>
        <w:t xml:space="preserve"> 1960; Turner 1967). Van </w:t>
      </w:r>
      <w:proofErr w:type="spellStart"/>
      <w:r w:rsidRPr="007D290F">
        <w:rPr>
          <w:rFonts w:ascii="Times New Roman" w:eastAsia="Times New Roman" w:hAnsi="Times New Roman" w:cs="Times New Roman"/>
          <w:kern w:val="0"/>
          <w:sz w:val="24"/>
          <w:szCs w:val="24"/>
          <w14:ligatures w14:val="none"/>
        </w:rPr>
        <w:t>Gennep</w:t>
      </w:r>
      <w:proofErr w:type="spellEnd"/>
      <w:r w:rsidRPr="007D290F">
        <w:rPr>
          <w:rFonts w:ascii="Times New Roman" w:eastAsia="Times New Roman" w:hAnsi="Times New Roman" w:cs="Times New Roman"/>
          <w:kern w:val="0"/>
          <w:sz w:val="24"/>
          <w:szCs w:val="24"/>
          <w14:ligatures w14:val="none"/>
        </w:rPr>
        <w:t xml:space="preserve"> argues that every </w:t>
      </w:r>
      <w:proofErr w:type="spellStart"/>
      <w:r w:rsidRPr="007D290F">
        <w:rPr>
          <w:rFonts w:ascii="Times New Roman" w:eastAsia="Times New Roman" w:hAnsi="Times New Roman" w:cs="Times New Roman"/>
          <w:kern w:val="0"/>
          <w:sz w:val="24"/>
          <w:szCs w:val="24"/>
          <w14:ligatures w14:val="none"/>
        </w:rPr>
        <w:t>ryte</w:t>
      </w:r>
      <w:proofErr w:type="spellEnd"/>
      <w:r w:rsidRPr="007D290F">
        <w:rPr>
          <w:rFonts w:ascii="Times New Roman" w:eastAsia="Times New Roman" w:hAnsi="Times New Roman" w:cs="Times New Roman"/>
          <w:kern w:val="0"/>
          <w:sz w:val="24"/>
          <w:szCs w:val="24"/>
          <w14:ligatures w14:val="none"/>
        </w:rPr>
        <w:t xml:space="preserve"> of passage includes “</w:t>
      </w:r>
      <w:proofErr w:type="spellStart"/>
      <w:r w:rsidRPr="007D290F">
        <w:rPr>
          <w:rFonts w:ascii="Times New Roman" w:eastAsia="Times New Roman" w:hAnsi="Times New Roman" w:cs="Times New Roman"/>
          <w:kern w:val="0"/>
          <w:sz w:val="24"/>
          <w:szCs w:val="24"/>
          <w14:ligatures w14:val="none"/>
        </w:rPr>
        <w:t>preliminal</w:t>
      </w:r>
      <w:proofErr w:type="spellEnd"/>
      <w:r w:rsidRPr="007D290F">
        <w:rPr>
          <w:rFonts w:ascii="Times New Roman" w:eastAsia="Times New Roman" w:hAnsi="Times New Roman" w:cs="Times New Roman"/>
          <w:kern w:val="0"/>
          <w:sz w:val="24"/>
          <w:szCs w:val="24"/>
          <w14:ligatures w14:val="none"/>
        </w:rPr>
        <w:t xml:space="preserve"> rites (rites of separation), liminal rites (rites of transition) and </w:t>
      </w:r>
      <w:proofErr w:type="spellStart"/>
      <w:r w:rsidRPr="007D290F">
        <w:rPr>
          <w:rFonts w:ascii="Times New Roman" w:eastAsia="Times New Roman" w:hAnsi="Times New Roman" w:cs="Times New Roman"/>
          <w:kern w:val="0"/>
          <w:sz w:val="24"/>
          <w:szCs w:val="24"/>
          <w14:ligatures w14:val="none"/>
        </w:rPr>
        <w:t>postliminal</w:t>
      </w:r>
      <w:proofErr w:type="spellEnd"/>
      <w:r w:rsidRPr="007D290F">
        <w:rPr>
          <w:rFonts w:ascii="Times New Roman" w:eastAsia="Times New Roman" w:hAnsi="Times New Roman" w:cs="Times New Roman"/>
          <w:kern w:val="0"/>
          <w:sz w:val="24"/>
          <w:szCs w:val="24"/>
          <w14:ligatures w14:val="none"/>
        </w:rPr>
        <w:t xml:space="preserve"> rites (rites of incorporation)”, even though the importance and development of each sequence is contextually relative (Van </w:t>
      </w:r>
      <w:proofErr w:type="spellStart"/>
      <w:r w:rsidRPr="007D290F">
        <w:rPr>
          <w:rFonts w:ascii="Times New Roman" w:eastAsia="Times New Roman" w:hAnsi="Times New Roman" w:cs="Times New Roman"/>
          <w:kern w:val="0"/>
          <w:sz w:val="24"/>
          <w:szCs w:val="24"/>
          <w14:ligatures w14:val="none"/>
        </w:rPr>
        <w:t>Gennep</w:t>
      </w:r>
      <w:proofErr w:type="spellEnd"/>
      <w:r w:rsidRPr="007D290F">
        <w:rPr>
          <w:rFonts w:ascii="Times New Roman" w:eastAsia="Times New Roman" w:hAnsi="Times New Roman" w:cs="Times New Roman"/>
          <w:kern w:val="0"/>
          <w:sz w:val="24"/>
          <w:szCs w:val="24"/>
          <w14:ligatures w14:val="none"/>
        </w:rPr>
        <w:t xml:space="preserve"> 1960: 11). Moreover, the </w:t>
      </w:r>
      <w:proofErr w:type="spellStart"/>
      <w:r w:rsidRPr="007D290F">
        <w:rPr>
          <w:rFonts w:ascii="Times New Roman" w:eastAsia="Times New Roman" w:hAnsi="Times New Roman" w:cs="Times New Roman"/>
          <w:kern w:val="0"/>
          <w:sz w:val="24"/>
          <w:szCs w:val="24"/>
          <w14:ligatures w14:val="none"/>
        </w:rPr>
        <w:t>postliminal</w:t>
      </w:r>
      <w:proofErr w:type="spellEnd"/>
      <w:r w:rsidRPr="007D290F">
        <w:rPr>
          <w:rFonts w:ascii="Times New Roman" w:eastAsia="Times New Roman" w:hAnsi="Times New Roman" w:cs="Times New Roman"/>
          <w:kern w:val="0"/>
          <w:sz w:val="24"/>
          <w:szCs w:val="24"/>
          <w14:ligatures w14:val="none"/>
        </w:rPr>
        <w:t xml:space="preserve"> period becomes sometimes “systematized in the form of commemorations” (Van </w:t>
      </w:r>
      <w:proofErr w:type="spellStart"/>
      <w:r w:rsidRPr="007D290F">
        <w:rPr>
          <w:rFonts w:ascii="Times New Roman" w:eastAsia="Times New Roman" w:hAnsi="Times New Roman" w:cs="Times New Roman"/>
          <w:kern w:val="0"/>
          <w:sz w:val="24"/>
          <w:szCs w:val="24"/>
          <w14:ligatures w14:val="none"/>
        </w:rPr>
        <w:t>Gennep</w:t>
      </w:r>
      <w:proofErr w:type="spellEnd"/>
      <w:r w:rsidRPr="007D290F">
        <w:rPr>
          <w:rFonts w:ascii="Times New Roman" w:eastAsia="Times New Roman" w:hAnsi="Times New Roman" w:cs="Times New Roman"/>
          <w:kern w:val="0"/>
          <w:sz w:val="24"/>
          <w:szCs w:val="24"/>
          <w14:ligatures w14:val="none"/>
        </w:rPr>
        <w:t xml:space="preserve"> 1960: 149). Social life therefore entails multiple rites of passage, each of them marked by phases of separation, margin and aggregation (Warner 1959: 303). The liminal period is an “</w:t>
      </w:r>
      <w:proofErr w:type="spellStart"/>
      <w:r w:rsidRPr="007D290F">
        <w:rPr>
          <w:rFonts w:ascii="Times New Roman" w:eastAsia="Times New Roman" w:hAnsi="Times New Roman" w:cs="Times New Roman"/>
          <w:kern w:val="0"/>
          <w:sz w:val="24"/>
          <w:szCs w:val="24"/>
          <w14:ligatures w14:val="none"/>
        </w:rPr>
        <w:t>interstructural</w:t>
      </w:r>
      <w:proofErr w:type="spellEnd"/>
      <w:r w:rsidRPr="007D290F">
        <w:rPr>
          <w:rFonts w:ascii="Times New Roman" w:eastAsia="Times New Roman" w:hAnsi="Times New Roman" w:cs="Times New Roman"/>
          <w:kern w:val="0"/>
          <w:sz w:val="24"/>
          <w:szCs w:val="24"/>
          <w14:ligatures w14:val="none"/>
        </w:rPr>
        <w:t xml:space="preserve"> situation”, a transition between states, i.e., “relatively fixed or stable conditions” (Turner 1967: 93). </w:t>
      </w:r>
    </w:p>
    <w:p w14:paraId="3D1EEBB6"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lastRenderedPageBreak/>
        <w:t xml:space="preserve">Using the concept of liminality as a rite of passage in international relations is relevant for three reasons. First, the concept can be applied to polities, even though they do not fit the template of relatively small and stable social groups, where many rites are inherently connected with “biological or meteorological rhythms” (Turner 1967: 93), precisely because they “concern entry into a new achieved status” (Turner 1967:  95). Secondly, the value of the concept is given by the inherent ambiguity of the liminal conditions – the place of the liminal group or body is not fixed and it requires its own conceptualization and ontology: people in liminal condition “are no longer classified and not yet classified” (Turner 1967: 96). In Turner’s words, “neophytes are neither living nor dead from one aspect, and both living and dead from another” (Turner 1967: 97). Third, political developments are marked by transitions which do not only resemble rites of passage, but are ritualized as such, with discrete consequences resulting from the changing of the status which is supposed to mark the end of the liminal period. The debate about whether the Balkan region falls within the marginal, liminal or lowermost category (Todorova 2009: 18) highlights the usefulness of the concept. The best case to be made about the relevance of rites of passage and liminality is by looking at Romania’s integration process. Accession to the EU and NATO can be seen as a rite of passage, which entails a discrete separation from the previous “state” (Turner 1967: 93) – the identity and characteristics of Romanian communism. Democratization and the establishment of a market economy, the adoption and implementation of the Copenhagen criteria, become prerequisites of accession. EU and NATO membership status can thus be considered as a “state” quantitatively and qualitatively different from the previous one. </w:t>
      </w:r>
    </w:p>
    <w:p w14:paraId="66456780"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While Romania joined NATO in 2004 and the EU in 2007, it is possible to argue that liminality remains relevant. First of all, the post-revolutionary transition was a long period, which inevitably generates political and social consequences. Secondly, at least in the case of the European Union, the accession was marked by sui-generis conditionalities, such as the imposition of the Cooperation and Verification Mechanism (European Commission 2006). Moreover, the fact that Romania and Bulgaria still have to join the Schengen Area and eventually adopt the Euro (Official Journal of the European Union 2005) can be interpreted as a continuation of the liminal period either because all the liminal rites (rites of transition) have not been concluded or because all the </w:t>
      </w:r>
      <w:proofErr w:type="spellStart"/>
      <w:r w:rsidRPr="007D290F">
        <w:rPr>
          <w:rFonts w:ascii="Times New Roman" w:eastAsia="Times New Roman" w:hAnsi="Times New Roman" w:cs="Times New Roman"/>
          <w:kern w:val="0"/>
          <w:sz w:val="24"/>
          <w:szCs w:val="24"/>
          <w14:ligatures w14:val="none"/>
        </w:rPr>
        <w:t>postliminal</w:t>
      </w:r>
      <w:proofErr w:type="spellEnd"/>
      <w:r w:rsidRPr="007D290F">
        <w:rPr>
          <w:rFonts w:ascii="Times New Roman" w:eastAsia="Times New Roman" w:hAnsi="Times New Roman" w:cs="Times New Roman"/>
          <w:kern w:val="0"/>
          <w:sz w:val="24"/>
          <w:szCs w:val="24"/>
          <w14:ligatures w14:val="none"/>
        </w:rPr>
        <w:t xml:space="preserve"> rites (rites of incorporation) have not been performed. Romania is a member of the European Union, under a form of conditional verification and, in many regards, still a candidate (to join the Schengen and Euro Area). The symbolic value of liminality is highlighted by the </w:t>
      </w:r>
      <w:r w:rsidRPr="007D290F">
        <w:rPr>
          <w:rFonts w:ascii="Times New Roman" w:eastAsia="Times New Roman" w:hAnsi="Times New Roman" w:cs="Times New Roman"/>
          <w:kern w:val="0"/>
          <w:sz w:val="24"/>
          <w:szCs w:val="24"/>
          <w14:ligatures w14:val="none"/>
        </w:rPr>
        <w:lastRenderedPageBreak/>
        <w:t xml:space="preserve">manner in which the transition manages to dominate the political space: it is not ironic that immediately after Brexit, the Romanian president felt the need to talk about the importance of finding a post-accession project to guide Romanian politics (Iohannis, 2016), a discourse reminiscent of Turner’s argument that the liminal period “may partly be described as a stage of reflection” (Turner 1967:105). </w:t>
      </w:r>
    </w:p>
    <w:p w14:paraId="0FA09728"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In addition to political liminality, there is also geographic liminality. Geography is a form of discourse that “spatializes” international politics, creating narratives which fit the socially constructed geographical space (Ó </w:t>
      </w:r>
      <w:proofErr w:type="spellStart"/>
      <w:r w:rsidRPr="007D290F">
        <w:rPr>
          <w:rFonts w:ascii="Times New Roman" w:eastAsia="Times New Roman" w:hAnsi="Times New Roman" w:cs="Times New Roman"/>
          <w:kern w:val="0"/>
          <w:sz w:val="24"/>
          <w:szCs w:val="24"/>
          <w14:ligatures w14:val="none"/>
        </w:rPr>
        <w:t>Tuathail</w:t>
      </w:r>
      <w:proofErr w:type="spellEnd"/>
      <w:r w:rsidRPr="007D290F">
        <w:rPr>
          <w:rFonts w:ascii="Times New Roman" w:eastAsia="Times New Roman" w:hAnsi="Times New Roman" w:cs="Times New Roman"/>
          <w:kern w:val="0"/>
          <w:sz w:val="24"/>
          <w:szCs w:val="24"/>
          <w14:ligatures w14:val="none"/>
        </w:rPr>
        <w:t xml:space="preserve"> and Agnew 1992: 192). This form of discourse, which calls for specific policies to fundamentally manage an element, space, seen as unchanging and unaltered (Dodds 2019: 3), entails discrete characteristics of the peoples and polities inhabiting specific spaces. Nonetheless, the borders between the major geopolitical units, clearly defined in terms of identity, discourse and practice, are difficult to establish, thus creating a space of borderlands, with their peculiar position between the familiar and the significant Other (Goldsworthy 1998: 2-8). On the other hand, it is precisely the ambiguity of the border region – too familiar to be part of the </w:t>
      </w:r>
      <w:r w:rsidRPr="007D290F">
        <w:rPr>
          <w:rFonts w:ascii="Times New Roman" w:eastAsia="Times New Roman" w:hAnsi="Times New Roman" w:cs="Times New Roman"/>
          <w:i/>
          <w:iCs/>
          <w:kern w:val="0"/>
          <w:sz w:val="24"/>
          <w:szCs w:val="24"/>
          <w14:ligatures w14:val="none"/>
        </w:rPr>
        <w:t>orientalist</w:t>
      </w:r>
      <w:r w:rsidRPr="007D290F">
        <w:rPr>
          <w:rFonts w:ascii="Times New Roman" w:eastAsia="Times New Roman" w:hAnsi="Times New Roman" w:cs="Times New Roman"/>
          <w:kern w:val="0"/>
          <w:sz w:val="24"/>
          <w:szCs w:val="24"/>
          <w14:ligatures w14:val="none"/>
        </w:rPr>
        <w:t xml:space="preserve"> construction (Said 1979: 3-8), but different enough to be apart from Western self-depictions of politics and identity – which encapsulates the idea of liminality. Geographically, Romania remains between created spaces and practices. This liminal position explains also a paradox – first, this intermediary position nonetheless allows elites and societies alike to challenge the discursive divisions and practices – in a sense, accession to the EU and NATO becomes a geopolitical quest of disproving the geopolitical labels. The Presidency, for example, in its website presentation of Romania, is adamant that the country belongs to Central Europe, while being at its frontier with Eastern Europe and the Balkans. (Institute of Geography of the Romanian Academy 2021). Secondly, the self-perception of Romania’s position as a border or as a frontier, as a country at the intersection of several Empires, as a staunch defender of the Western Christian world, has a significant cultural and historical tradition (</w:t>
      </w:r>
      <w:proofErr w:type="spellStart"/>
      <w:r w:rsidRPr="007D290F">
        <w:rPr>
          <w:rFonts w:ascii="Times New Roman" w:eastAsia="Times New Roman" w:hAnsi="Times New Roman" w:cs="Times New Roman"/>
          <w:kern w:val="0"/>
          <w:sz w:val="24"/>
          <w:szCs w:val="24"/>
          <w14:ligatures w14:val="none"/>
        </w:rPr>
        <w:t>Boia</w:t>
      </w:r>
      <w:proofErr w:type="spellEnd"/>
      <w:r w:rsidRPr="007D290F">
        <w:rPr>
          <w:rFonts w:ascii="Times New Roman" w:eastAsia="Times New Roman" w:hAnsi="Times New Roman" w:cs="Times New Roman"/>
          <w:kern w:val="0"/>
          <w:sz w:val="24"/>
          <w:szCs w:val="24"/>
          <w14:ligatures w14:val="none"/>
        </w:rPr>
        <w:t xml:space="preserve"> 2001: 155-157). Additionally, there is the epistemic liminality to consider. The paper does not dwell on whether International Relations concepts are a Western-centered discipline or product (Acharya and Buzan 2010, Acharya and Buzan 2017). Alternatively, it is possible to consider the Romanian reaction to dominant theories and concepts a form of subalternity (Spivak 1988) or mimicry (Bhabha 1994). Concurrently, is difficult to argue against the relevance of investigating the incorporation of knowledge into official documents from a post-colonial perspective (Todorova 2009: 201, </w:t>
      </w:r>
      <w:proofErr w:type="spellStart"/>
      <w:r w:rsidRPr="007D290F">
        <w:rPr>
          <w:rFonts w:ascii="Times New Roman" w:eastAsia="Times New Roman" w:hAnsi="Times New Roman" w:cs="Times New Roman"/>
          <w:kern w:val="0"/>
          <w:sz w:val="24"/>
          <w:szCs w:val="24"/>
          <w14:ligatures w14:val="none"/>
        </w:rPr>
        <w:lastRenderedPageBreak/>
        <w:t>Filipescu</w:t>
      </w:r>
      <w:proofErr w:type="spellEnd"/>
      <w:r w:rsidRPr="007D290F">
        <w:rPr>
          <w:rFonts w:ascii="Times New Roman" w:eastAsia="Times New Roman" w:hAnsi="Times New Roman" w:cs="Times New Roman"/>
          <w:kern w:val="0"/>
          <w:sz w:val="24"/>
          <w:szCs w:val="24"/>
          <w14:ligatures w14:val="none"/>
        </w:rPr>
        <w:t xml:space="preserve"> 2015). Nonetheless, Romanian academic and political elites remain outside the Foucauldian power-knowledge matrix (Foucault 1977: 13) or, alternatively, subjects influenced by a Gramscian-like intellectual hegemony (Gramsci 1992: 12). The concepts and theories adopted are very difficult to challenge, but their relative meaning reflects the peculiar liminal position. </w:t>
      </w:r>
    </w:p>
    <w:p w14:paraId="1ED3A476"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Fashionable Theories and Concepts</w:t>
      </w:r>
    </w:p>
    <w:p w14:paraId="38590EEC"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The use of fashion in the present paper is related to the perspective espoused by </w:t>
      </w:r>
      <w:proofErr w:type="spellStart"/>
      <w:r w:rsidRPr="007D290F">
        <w:rPr>
          <w:rFonts w:ascii="Times New Roman" w:eastAsia="Times New Roman" w:hAnsi="Times New Roman" w:cs="Times New Roman"/>
          <w:kern w:val="0"/>
          <w:sz w:val="24"/>
          <w:szCs w:val="24"/>
          <w14:ligatures w14:val="none"/>
        </w:rPr>
        <w:t>Libiseller</w:t>
      </w:r>
      <w:proofErr w:type="spellEnd"/>
      <w:r w:rsidRPr="007D290F">
        <w:rPr>
          <w:rFonts w:ascii="Times New Roman" w:eastAsia="Times New Roman" w:hAnsi="Times New Roman" w:cs="Times New Roman"/>
          <w:kern w:val="0"/>
          <w:sz w:val="24"/>
          <w:szCs w:val="24"/>
          <w14:ligatures w14:val="none"/>
        </w:rPr>
        <w:t xml:space="preserve"> (</w:t>
      </w:r>
      <w:proofErr w:type="spellStart"/>
      <w:r w:rsidRPr="007D290F">
        <w:rPr>
          <w:rFonts w:ascii="Times New Roman" w:eastAsia="Times New Roman" w:hAnsi="Times New Roman" w:cs="Times New Roman"/>
          <w:kern w:val="0"/>
          <w:sz w:val="24"/>
          <w:szCs w:val="24"/>
          <w14:ligatures w14:val="none"/>
        </w:rPr>
        <w:t>Libiseller</w:t>
      </w:r>
      <w:proofErr w:type="spellEnd"/>
      <w:r w:rsidRPr="007D290F">
        <w:rPr>
          <w:rFonts w:ascii="Times New Roman" w:eastAsia="Times New Roman" w:hAnsi="Times New Roman" w:cs="Times New Roman"/>
          <w:kern w:val="0"/>
          <w:sz w:val="24"/>
          <w:szCs w:val="24"/>
          <w14:ligatures w14:val="none"/>
        </w:rPr>
        <w:t xml:space="preserve"> 2023). Concepts and theories become fashionable independent of the people who author them, are a function of power and the prestige associated with their adoption by state or international institutions only serves to reinforce their </w:t>
      </w:r>
      <w:proofErr w:type="spellStart"/>
      <w:r w:rsidRPr="007D290F">
        <w:rPr>
          <w:rFonts w:ascii="Times New Roman" w:eastAsia="Times New Roman" w:hAnsi="Times New Roman" w:cs="Times New Roman"/>
          <w:kern w:val="0"/>
          <w:sz w:val="24"/>
          <w:szCs w:val="24"/>
          <w14:ligatures w14:val="none"/>
        </w:rPr>
        <w:t>fashionability</w:t>
      </w:r>
      <w:proofErr w:type="spellEnd"/>
      <w:r w:rsidRPr="007D290F">
        <w:rPr>
          <w:rFonts w:ascii="Times New Roman" w:eastAsia="Times New Roman" w:hAnsi="Times New Roman" w:cs="Times New Roman"/>
          <w:kern w:val="0"/>
          <w:sz w:val="24"/>
          <w:szCs w:val="24"/>
          <w14:ligatures w14:val="none"/>
        </w:rPr>
        <w:t xml:space="preserve"> (</w:t>
      </w:r>
      <w:proofErr w:type="spellStart"/>
      <w:r w:rsidRPr="007D290F">
        <w:rPr>
          <w:rFonts w:ascii="Times New Roman" w:eastAsia="Times New Roman" w:hAnsi="Times New Roman" w:cs="Times New Roman"/>
          <w:kern w:val="0"/>
          <w:sz w:val="24"/>
          <w:szCs w:val="24"/>
          <w14:ligatures w14:val="none"/>
        </w:rPr>
        <w:t>Libiseller</w:t>
      </w:r>
      <w:proofErr w:type="spellEnd"/>
      <w:r w:rsidRPr="007D290F">
        <w:rPr>
          <w:rFonts w:ascii="Times New Roman" w:eastAsia="Times New Roman" w:hAnsi="Times New Roman" w:cs="Times New Roman"/>
          <w:kern w:val="0"/>
          <w:sz w:val="24"/>
          <w:szCs w:val="24"/>
          <w14:ligatures w14:val="none"/>
        </w:rPr>
        <w:t xml:space="preserve"> 2023). The paper is agnostic in relation to the specific process by which a concept or a theory becomes fashionable, or, indeed, “dominant”.</w:t>
      </w:r>
    </w:p>
    <w:p w14:paraId="4B9E3539"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However, I argue that because of the specific manner in which these theories and concepts are articulated and employed by their adopters, the process is not simply a direct one – the overt manifestation of a form of power dressed in academic terminology. The adopter, in this case, the academic and political elites, which are seen as a community of meaning (</w:t>
      </w:r>
      <w:proofErr w:type="spellStart"/>
      <w:r w:rsidRPr="007D290F">
        <w:rPr>
          <w:rFonts w:ascii="Times New Roman" w:eastAsia="Times New Roman" w:hAnsi="Times New Roman" w:cs="Times New Roman"/>
          <w:kern w:val="0"/>
          <w:sz w:val="24"/>
          <w:szCs w:val="24"/>
          <w14:ligatures w14:val="none"/>
        </w:rPr>
        <w:t>Yanow</w:t>
      </w:r>
      <w:proofErr w:type="spellEnd"/>
      <w:r w:rsidRPr="007D290F">
        <w:rPr>
          <w:rFonts w:ascii="Times New Roman" w:eastAsia="Times New Roman" w:hAnsi="Times New Roman" w:cs="Times New Roman"/>
          <w:kern w:val="0"/>
          <w:sz w:val="24"/>
          <w:szCs w:val="24"/>
          <w14:ligatures w14:val="none"/>
        </w:rPr>
        <w:t xml:space="preserve"> 2000: 10-13) involved in the drafting of the analyzed strategies, “adapts” and gives additional meaning to the fashionable concepts and theories, by interpreting and understanding his own position. The analysis will highlight also that successive fashions are not mutually exclusive. In fact, liminality encourages the retaining of remnants of previous fashionable cycles of theories and concepts, resulting in but multi-layered intellectual constructs. </w:t>
      </w:r>
    </w:p>
    <w:p w14:paraId="0F6C9C1C"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The adoption of fashion concepts is encouraged and influenced not only by their use by international institutions (resilience, in the case of the EU and hybrid warfare in the case of NATO), but also by liminality, specifically because the liminal position is one of ambiguity and uncertainty. The adoption of fashionable concepts and theories serves several purposes. On the one hand, their adoption is seen as a form of incorporation of the values and norms which define the end-state of the </w:t>
      </w:r>
      <w:proofErr w:type="spellStart"/>
      <w:r w:rsidRPr="007D290F">
        <w:rPr>
          <w:rFonts w:ascii="Times New Roman" w:eastAsia="Times New Roman" w:hAnsi="Times New Roman" w:cs="Times New Roman"/>
          <w:kern w:val="0"/>
          <w:sz w:val="24"/>
          <w:szCs w:val="24"/>
          <w14:ligatures w14:val="none"/>
        </w:rPr>
        <w:t>postliminal</w:t>
      </w:r>
      <w:proofErr w:type="spellEnd"/>
      <w:r w:rsidRPr="007D290F">
        <w:rPr>
          <w:rFonts w:ascii="Times New Roman" w:eastAsia="Times New Roman" w:hAnsi="Times New Roman" w:cs="Times New Roman"/>
          <w:kern w:val="0"/>
          <w:sz w:val="24"/>
          <w:szCs w:val="24"/>
          <w14:ligatures w14:val="none"/>
        </w:rPr>
        <w:t xml:space="preserve"> period. On the other hand, their adoption is facilitated precisely because, due to their vagueness and elasticity, they seem to cover a significant tract of the problems that liminality entails. In a quasi-feedback loop, the reference to fashion concepts is required by liminality and is also a solution to its vagaries. </w:t>
      </w:r>
    </w:p>
    <w:p w14:paraId="54AD8DD3"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At the same time, it is important to look at the symbolic and ritualistic nature of these strategies. In a sense, these documents do not only encapsulate a strategic narrative and play the role of trying </w:t>
      </w:r>
      <w:r w:rsidRPr="007D290F">
        <w:rPr>
          <w:rFonts w:ascii="Times New Roman" w:eastAsia="Times New Roman" w:hAnsi="Times New Roman" w:cs="Times New Roman"/>
          <w:kern w:val="0"/>
          <w:sz w:val="24"/>
          <w:szCs w:val="24"/>
          <w14:ligatures w14:val="none"/>
        </w:rPr>
        <w:lastRenderedPageBreak/>
        <w:t>to solve the identified problems within the ends, means and ways triad (</w:t>
      </w:r>
      <w:proofErr w:type="spellStart"/>
      <w:r w:rsidRPr="007D290F">
        <w:rPr>
          <w:rFonts w:ascii="Times New Roman" w:eastAsia="Times New Roman" w:hAnsi="Times New Roman" w:cs="Times New Roman"/>
          <w:kern w:val="0"/>
          <w:sz w:val="24"/>
          <w:szCs w:val="24"/>
          <w14:ligatures w14:val="none"/>
        </w:rPr>
        <w:t>Lykke</w:t>
      </w:r>
      <w:proofErr w:type="spellEnd"/>
      <w:r w:rsidRPr="007D290F">
        <w:rPr>
          <w:rFonts w:ascii="Times New Roman" w:eastAsia="Times New Roman" w:hAnsi="Times New Roman" w:cs="Times New Roman"/>
          <w:kern w:val="0"/>
          <w:sz w:val="24"/>
          <w:szCs w:val="24"/>
          <w14:ligatures w14:val="none"/>
        </w:rPr>
        <w:t xml:space="preserve"> 2001: 179). They can also be seen as the ceremony corresponding to a rite of incorporation, performed during the liminal stage: the multiple references to NATO and the EU, as well as the drafting of a defense or military strategy can be seen as ceremonies pertaining to incorporation rite, albeit in a liminal state.</w:t>
      </w:r>
    </w:p>
    <w:p w14:paraId="2126C593"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Methodology</w:t>
      </w:r>
    </w:p>
    <w:p w14:paraId="67765DC9"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The methodology of the paper is a qualitative one, based on an interpretive textual analysis. Stepping away from the assumptions of epistemic neutrality, analysis can focus on the intersubjective meanings of concepts and discourses (</w:t>
      </w:r>
      <w:proofErr w:type="spellStart"/>
      <w:r w:rsidRPr="007D290F">
        <w:rPr>
          <w:rFonts w:ascii="Times New Roman" w:eastAsia="Times New Roman" w:hAnsi="Times New Roman" w:cs="Times New Roman"/>
          <w:kern w:val="0"/>
          <w:sz w:val="24"/>
          <w:szCs w:val="24"/>
          <w14:ligatures w14:val="none"/>
        </w:rPr>
        <w:t>Yanow</w:t>
      </w:r>
      <w:proofErr w:type="spellEnd"/>
      <w:r w:rsidRPr="007D290F">
        <w:rPr>
          <w:rFonts w:ascii="Times New Roman" w:eastAsia="Times New Roman" w:hAnsi="Times New Roman" w:cs="Times New Roman"/>
          <w:kern w:val="0"/>
          <w:sz w:val="24"/>
          <w:szCs w:val="24"/>
          <w14:ligatures w14:val="none"/>
        </w:rPr>
        <w:t xml:space="preserve"> 2000: 5-10). The paper will analyze the 2020 Romanian National Defense Strategy (hereinafter DS), the 2021 Military Strategy (hereinafter MS), as well as the 2021 Defense White Paper (hereinafter WP), in order to see how concepts and theories are employed, to ascertain their intersubjective meaning, within an interpretive methodological framework (Hollis 1994: 142-162, Hollis and Smith 1991: 1-7). The analysis will highlight how concepts such as “hybrid warfare” and “resilience” are used in an attempt to make sense of the international environment, its strategic challenges and how their employment frames Romania’s strategic efforts. The presence of additional theoretical frameworks, especially Realism, the perspective of the Copenhagen School and geopolitics, as well as liberalism and the influence of nationalism will also be investigated, in relation to the fashionable concepts. Last, but not least, the implicit influence of securitization is discussed within the larger framework of the paper. </w:t>
      </w:r>
    </w:p>
    <w:p w14:paraId="42F8C980"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Concepts and Theories in the Romanian Strategies</w:t>
      </w:r>
    </w:p>
    <w:p w14:paraId="5D571967"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Romanian strategies exhibit multiple successive layers of influence: while the bedrock can be ascribed to a very peculiar form of realism, which interprets international politics based on the global and regional distribution of power, with geopolitical accents, there are nevertheless residual elements of nationalism (the primacy of the state, and the references to national identity and culture) and liberalism (the references to multilateralism and the UN Charter). The realist stratum is complemented by a methodological adaptation of the Copenhagen School’s perspective, which is meant to accommodate the fashionable concepts of resilience and hybrid warfare. </w:t>
      </w:r>
    </w:p>
    <w:p w14:paraId="71765F74"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One of the peculiarities of the strategic discourse in Romania is the fact that the role that a national security strategy should play is legally constitutionally ascribed to a “national defense strategy”. The president must present the document before Parliament within six months after taking office (Parliament of Romania 2015), and only enters into force after being voted by the Legislature </w:t>
      </w:r>
      <w:r w:rsidRPr="007D290F">
        <w:rPr>
          <w:rFonts w:ascii="Times New Roman" w:eastAsia="Times New Roman" w:hAnsi="Times New Roman" w:cs="Times New Roman"/>
          <w:kern w:val="0"/>
          <w:sz w:val="24"/>
          <w:szCs w:val="24"/>
          <w14:ligatures w14:val="none"/>
        </w:rPr>
        <w:lastRenderedPageBreak/>
        <w:t>(Parliament of Romania, 2007). Romania therefore has both a national defense and a national military strategy, a situation ascribed to the influence of the traditional view of security, which sees symmetric threats as intrinsically more significant than asymmetric ones (</w:t>
      </w:r>
      <w:proofErr w:type="spellStart"/>
      <w:r w:rsidRPr="007D290F">
        <w:rPr>
          <w:rFonts w:ascii="Times New Roman" w:eastAsia="Times New Roman" w:hAnsi="Times New Roman" w:cs="Times New Roman"/>
          <w:kern w:val="0"/>
          <w:sz w:val="24"/>
          <w:szCs w:val="24"/>
          <w14:ligatures w14:val="none"/>
        </w:rPr>
        <w:t>Soare</w:t>
      </w:r>
      <w:proofErr w:type="spellEnd"/>
      <w:r w:rsidRPr="007D290F">
        <w:rPr>
          <w:rFonts w:ascii="Times New Roman" w:eastAsia="Times New Roman" w:hAnsi="Times New Roman" w:cs="Times New Roman"/>
          <w:kern w:val="0"/>
          <w:sz w:val="24"/>
          <w:szCs w:val="24"/>
          <w14:ligatures w14:val="none"/>
        </w:rPr>
        <w:t xml:space="preserve"> 2008: 57). </w:t>
      </w:r>
    </w:p>
    <w:p w14:paraId="6538D994"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The liminal dimension is made clear by the National Defense Strategy, which expresses it in several ways: Romania’s “significant” role within NATO and the EU consists of assuring security at their external frontier and in the Black Sea Region (DS 2020: 4). Romania is a state on the “Eastern flank” of NATO and the Eastern Frontier of the EU (DS 2020: 21). </w:t>
      </w:r>
    </w:p>
    <w:p w14:paraId="50FFE718"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The strategic environment is nevertheless one seen from a realist perspective – “global evolutions” are driven by the shifting balances (sic) of power (DS 2020: 6). However, the changing distribution of power results not only in increased great power competition, which the document labels as “the resurgence of geostrategic competition” (DS 2020: 17, 19) but is, in a sense, also responsible for what the strategy sees as a climate of global “uncertainty and unpredictability” (DS 2020: 19). In a similar vein, uncertainty is the result of a transition towards a “stratified multipolar system” (WP 2021: 10). Romania’s position is that of </w:t>
      </w:r>
      <w:proofErr w:type="spellStart"/>
      <w:r w:rsidRPr="007D290F">
        <w:rPr>
          <w:rFonts w:ascii="Times New Roman" w:eastAsia="Times New Roman" w:hAnsi="Times New Roman" w:cs="Times New Roman"/>
          <w:kern w:val="0"/>
          <w:sz w:val="24"/>
          <w:szCs w:val="24"/>
          <w14:ligatures w14:val="none"/>
        </w:rPr>
        <w:t>bandwagoning</w:t>
      </w:r>
      <w:proofErr w:type="spellEnd"/>
      <w:r w:rsidRPr="007D290F">
        <w:rPr>
          <w:rFonts w:ascii="Times New Roman" w:eastAsia="Times New Roman" w:hAnsi="Times New Roman" w:cs="Times New Roman"/>
          <w:kern w:val="0"/>
          <w:sz w:val="24"/>
          <w:szCs w:val="24"/>
          <w14:ligatures w14:val="none"/>
        </w:rPr>
        <w:t xml:space="preserve"> with the United States, given the fact that the US is expected to remain the “pre-eminent” power in this environment (DS 2020: 19). </w:t>
      </w:r>
    </w:p>
    <w:p w14:paraId="045165E1"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Residual traces of trust in international institutions also remains represented in the documents – consolidating multilateralism and an international order based on the UN Charter rules is a national interest (DS 2020: 15). There is a possibility of taking part in UN missions (MS 2021: 9), but only with observer and staff officers (WP 2021: 23). The references are nevertheless subordinated to the realist logic – the non-Western contestation of this order can lead to altering the global and regional distribution of power (DS 2020: 18).</w:t>
      </w:r>
    </w:p>
    <w:p w14:paraId="41BE1A44"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It is also important to note the manner in which the Strategy has institutionalized a very peculiar interpretation of the Copenhagen School. The discussion regarding the nature of the sectors of security (Buzan 2016: 34-35, Buzan, </w:t>
      </w:r>
      <w:proofErr w:type="spellStart"/>
      <w:r w:rsidRPr="007D290F">
        <w:rPr>
          <w:rFonts w:ascii="Times New Roman" w:eastAsia="Times New Roman" w:hAnsi="Times New Roman" w:cs="Times New Roman"/>
          <w:kern w:val="0"/>
          <w:sz w:val="24"/>
          <w:szCs w:val="24"/>
          <w14:ligatures w14:val="none"/>
        </w:rPr>
        <w:t>Waever</w:t>
      </w:r>
      <w:proofErr w:type="spellEnd"/>
      <w:r w:rsidRPr="007D290F">
        <w:rPr>
          <w:rFonts w:ascii="Times New Roman" w:eastAsia="Times New Roman" w:hAnsi="Times New Roman" w:cs="Times New Roman"/>
          <w:kern w:val="0"/>
          <w:sz w:val="24"/>
          <w:szCs w:val="24"/>
          <w14:ligatures w14:val="none"/>
        </w:rPr>
        <w:t xml:space="preserve">, de Wilde 1998: 8-9) or securitization as a speech act (Buzan, </w:t>
      </w:r>
      <w:proofErr w:type="spellStart"/>
      <w:r w:rsidRPr="007D290F">
        <w:rPr>
          <w:rFonts w:ascii="Times New Roman" w:eastAsia="Times New Roman" w:hAnsi="Times New Roman" w:cs="Times New Roman"/>
          <w:kern w:val="0"/>
          <w:sz w:val="24"/>
          <w:szCs w:val="24"/>
          <w14:ligatures w14:val="none"/>
        </w:rPr>
        <w:t>Waever</w:t>
      </w:r>
      <w:proofErr w:type="spellEnd"/>
      <w:r w:rsidRPr="007D290F">
        <w:rPr>
          <w:rFonts w:ascii="Times New Roman" w:eastAsia="Times New Roman" w:hAnsi="Times New Roman" w:cs="Times New Roman"/>
          <w:kern w:val="0"/>
          <w:sz w:val="24"/>
          <w:szCs w:val="24"/>
          <w14:ligatures w14:val="none"/>
        </w:rPr>
        <w:t xml:space="preserve">, de Wilde 1998: 35-42) were perceived not as abstract instruments for a better understanding of International Relations, but as an explicit permission to include matters of political interest deserving of their own sector: beside national and regional security, the document discusses energy security and cyber security, critical infrastructure and historical and cultural heritage security (DS 2020: 7), as well as “environmental security” (DS 2020: 37), within the framework of “extended” or “multidimensional” security (DS 2020: 7, 19). The faulty understanding of the Copenhagen School’s perspective is highlighted by the manner in which the </w:t>
      </w:r>
      <w:r w:rsidRPr="007D290F">
        <w:rPr>
          <w:rFonts w:ascii="Times New Roman" w:eastAsia="Times New Roman" w:hAnsi="Times New Roman" w:cs="Times New Roman"/>
          <w:kern w:val="0"/>
          <w:sz w:val="24"/>
          <w:szCs w:val="24"/>
          <w14:ligatures w14:val="none"/>
        </w:rPr>
        <w:lastRenderedPageBreak/>
        <w:t xml:space="preserve">“societal” label is used: originally coined in order to discuss issues pertaining to identity (Buzan, </w:t>
      </w:r>
      <w:proofErr w:type="spellStart"/>
      <w:r w:rsidRPr="007D290F">
        <w:rPr>
          <w:rFonts w:ascii="Times New Roman" w:eastAsia="Times New Roman" w:hAnsi="Times New Roman" w:cs="Times New Roman"/>
          <w:kern w:val="0"/>
          <w:sz w:val="24"/>
          <w:szCs w:val="24"/>
          <w14:ligatures w14:val="none"/>
        </w:rPr>
        <w:t>Waever</w:t>
      </w:r>
      <w:proofErr w:type="spellEnd"/>
      <w:r w:rsidRPr="007D290F">
        <w:rPr>
          <w:rFonts w:ascii="Times New Roman" w:eastAsia="Times New Roman" w:hAnsi="Times New Roman" w:cs="Times New Roman"/>
          <w:kern w:val="0"/>
          <w:sz w:val="24"/>
          <w:szCs w:val="24"/>
          <w14:ligatures w14:val="none"/>
        </w:rPr>
        <w:t xml:space="preserve">, de Wilde 1998: 119-120), the Romanian documents use it simply as a synonym of “social” or as a form of residual category. Everything fits this label if there is not a specifically designed institution to manage the problem. Hence document’s use of “societal resilience” (DS 2020: 11, 23) or “societal vulnerabilities and actors” (DS 2020: 12). In a sense, the sectors of security and the securitization process become the implicit methodology which accommodates the fashionable concepts into the strategic framework. Their prevalence is highlighted by their abundant use throughout the documents: “hybrid” is mentioned 19 times by the National Defense Strategy, 11 times by the Military Strategy, 10 times by the Defense White Paper. “Resilience” is mentioned no less than 33 times in the Defense Strategy, 28 times by the Military Strategy and 25 times by the White Paper. </w:t>
      </w:r>
    </w:p>
    <w:p w14:paraId="35027F04"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Hybrid warfare</w:t>
      </w:r>
    </w:p>
    <w:p w14:paraId="3BCF8DE7"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The use of “hybrid warfare” is close to the manner in which it was employed by NATO (</w:t>
      </w:r>
      <w:proofErr w:type="spellStart"/>
      <w:r w:rsidRPr="007D290F">
        <w:rPr>
          <w:rFonts w:ascii="Times New Roman" w:eastAsia="Times New Roman" w:hAnsi="Times New Roman" w:cs="Times New Roman"/>
          <w:kern w:val="0"/>
          <w:sz w:val="24"/>
          <w:szCs w:val="24"/>
          <w14:ligatures w14:val="none"/>
        </w:rPr>
        <w:t>Libiseller</w:t>
      </w:r>
      <w:proofErr w:type="spellEnd"/>
      <w:r w:rsidRPr="007D290F">
        <w:rPr>
          <w:rFonts w:ascii="Times New Roman" w:eastAsia="Times New Roman" w:hAnsi="Times New Roman" w:cs="Times New Roman"/>
          <w:kern w:val="0"/>
          <w:sz w:val="24"/>
          <w:szCs w:val="24"/>
          <w14:ligatures w14:val="none"/>
        </w:rPr>
        <w:t xml:space="preserve"> 2023) – Russian aggressive behavior consists of both actions of militarizing the Black Sea Region and hybrid ones (DS 2020: 7, 22). The vagueness and elasticity of the concept soon becomes apparent: unpredictable global security evolutions comprise not only pandemic or environmental ones, but also have a hybrid dimension (DS 2020: 8). Moreover, cyber threats are lumped together with hybrid ones (WP 2021: 16), as forms of interference in domestic matters (DS 2020: 18). The vagueness of the concept is increased – while “hybrid tactics” can be employed by hostile state actors, they comprise both threats of using force and asymmetric actions (DS 2020: 16, 20). Treating the hybrid dimension as both a tactic and a strategy, without clarifying the differences between them (MS 2021: 7), arguing that hybrid actions and strategies are characteristics of the operational environment further complicates the understanding of the concept. Hybrid actions are seen as capable of having strategic impact (MS 2021: 9), whereas “hybrid tactics” can be seen as a useful alternative given the low chances of major armed conflicts (WP 2021: 12). In fact, “hybrid warfare” is used as a counterpart of both conventional warfare (MS 2021: 26) and a complement of asymmetric warfare (DS 2020: 6, WP 2021: 11). The vagueness and flexibility of fashion concepts facilitates their inter-connection. For example, educating pupils consolidates resilience, thereby decreasing their vulnerability to fake news and disinformation, specifically labelled as hybrid threats (DS 2020: 11); there is a need to increase resilience to asymmetric and hybrid threats (WP 2021: 28). Moreover, destabilizing propaganda can be part of “hybrid-type campaigns” (DS </w:t>
      </w:r>
      <w:r w:rsidRPr="007D290F">
        <w:rPr>
          <w:rFonts w:ascii="Times New Roman" w:eastAsia="Times New Roman" w:hAnsi="Times New Roman" w:cs="Times New Roman"/>
          <w:kern w:val="0"/>
          <w:sz w:val="24"/>
          <w:szCs w:val="24"/>
          <w14:ligatures w14:val="none"/>
        </w:rPr>
        <w:lastRenderedPageBreak/>
        <w:t>2020: 28-29). Similarly, global unpredictability resulting from the changes of the balance of power can lead to the resurgence of frozen conflicts and multiple asymmetric and hybrid ones (WP 2021: 11).</w:t>
      </w:r>
    </w:p>
    <w:p w14:paraId="24839B68"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Resilience</w:t>
      </w:r>
    </w:p>
    <w:p w14:paraId="67ED9901"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Resilience is defined as the capacity of individuals and communities to adapt to violent events, and to revert fast to a functional state (DS 2020: 11). The definition echoes the official EU definition (European Commission 2020) and its underlying study (</w:t>
      </w:r>
      <w:proofErr w:type="spellStart"/>
      <w:r w:rsidRPr="007D290F">
        <w:rPr>
          <w:rFonts w:ascii="Times New Roman" w:eastAsia="Times New Roman" w:hAnsi="Times New Roman" w:cs="Times New Roman"/>
          <w:kern w:val="0"/>
          <w:sz w:val="24"/>
          <w:szCs w:val="24"/>
          <w14:ligatures w14:val="none"/>
        </w:rPr>
        <w:t>Manca</w:t>
      </w:r>
      <w:proofErr w:type="spellEnd"/>
      <w:r w:rsidRPr="007D290F">
        <w:rPr>
          <w:rFonts w:ascii="Times New Roman" w:eastAsia="Times New Roman" w:hAnsi="Times New Roman" w:cs="Times New Roman"/>
          <w:kern w:val="0"/>
          <w:sz w:val="24"/>
          <w:szCs w:val="24"/>
          <w14:ligatures w14:val="none"/>
        </w:rPr>
        <w:t xml:space="preserve">, </w:t>
      </w:r>
      <w:proofErr w:type="spellStart"/>
      <w:r w:rsidRPr="007D290F">
        <w:rPr>
          <w:rFonts w:ascii="Times New Roman" w:eastAsia="Times New Roman" w:hAnsi="Times New Roman" w:cs="Times New Roman"/>
          <w:kern w:val="0"/>
          <w:sz w:val="24"/>
          <w:szCs w:val="24"/>
          <w14:ligatures w14:val="none"/>
        </w:rPr>
        <w:t>Benczur</w:t>
      </w:r>
      <w:proofErr w:type="spellEnd"/>
      <w:r w:rsidRPr="007D290F">
        <w:rPr>
          <w:rFonts w:ascii="Times New Roman" w:eastAsia="Times New Roman" w:hAnsi="Times New Roman" w:cs="Times New Roman"/>
          <w:kern w:val="0"/>
          <w:sz w:val="24"/>
          <w:szCs w:val="24"/>
          <w14:ligatures w14:val="none"/>
        </w:rPr>
        <w:t xml:space="preserve">, </w:t>
      </w:r>
      <w:proofErr w:type="spellStart"/>
      <w:r w:rsidRPr="007D290F">
        <w:rPr>
          <w:rFonts w:ascii="Times New Roman" w:eastAsia="Times New Roman" w:hAnsi="Times New Roman" w:cs="Times New Roman"/>
          <w:kern w:val="0"/>
          <w:sz w:val="24"/>
          <w:szCs w:val="24"/>
          <w14:ligatures w14:val="none"/>
        </w:rPr>
        <w:t>Giovanini</w:t>
      </w:r>
      <w:proofErr w:type="spellEnd"/>
      <w:r w:rsidRPr="007D290F">
        <w:rPr>
          <w:rFonts w:ascii="Times New Roman" w:eastAsia="Times New Roman" w:hAnsi="Times New Roman" w:cs="Times New Roman"/>
          <w:kern w:val="0"/>
          <w:sz w:val="24"/>
          <w:szCs w:val="24"/>
          <w14:ligatures w14:val="none"/>
        </w:rPr>
        <w:t xml:space="preserve"> 2017: 5). It is important to note that the elasticity of the concept can be traced also to the European perspective, which discusses four dimensions of resilience: social and economic, geopolitical, green and digital (European Commission 2020). </w:t>
      </w:r>
    </w:p>
    <w:p w14:paraId="2113AC5B"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Resilience is seen both in teleological and instrumental terms. On the one hand, “transforming the country into a resilient state” is a paramount objective (DS 2020: 6). On the other hand, resilience becomes instrumental in ensuring that the Romanian state has the capacity to manage the multidimensional and ultimately unpredictable threats to its security, being linked with flexibility and adequate crisis response (DS 2020: 6). Furthermore, it is unclear what the difference between resilience and resistance actually is. The National Military Strategy defines resistance as the capacity to continue the mission in unfavorable circumstances whereas resilience is “the ability to withstand a blow, recover quickly and fight back decisively” (MS 2021: 25). Making use of the definition of resilience used by the National Defense Strategy, military resilience is defined as the “ability to absorb kinetic and non-kinetic shocks” as well as the ability to generate forces and operate after being surprised by an opponent (MS 2021: 26). The convoluted relation between resistance and resilience is expressed by the conviction that both are based on “the ability of organizations and citizens to survive and resist, by violent or non-violent means, to the occupying forces” (MS 2021: 27). Strategically, resilience can also serve as a deterring factor (WP 2021: 7).</w:t>
      </w:r>
    </w:p>
    <w:p w14:paraId="0AC7F59B"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The blending between the concepts is highlighted by the use of “societal resilience”, which can be increased by awareness raising measures, by changing the education curriculum and increasing digital competences (DS 2020: 23). There are also explicit mentions of the importance of increasing resilience in regards to asymmetric and hybrid risks and threats (DS 2020: 16), the “resilience of the medical system” (DS 2020: 29), economic resilience (DS 2020: 8), state and national resilience (DS 2020: 10), critical infrastructure resilience (DS 2020: 11), fiscal system resilience (DS 2020: 27), low resilience to disinformation (MS 2021: 8), military system resilience </w:t>
      </w:r>
      <w:r w:rsidRPr="007D290F">
        <w:rPr>
          <w:rFonts w:ascii="Times New Roman" w:eastAsia="Times New Roman" w:hAnsi="Times New Roman" w:cs="Times New Roman"/>
          <w:kern w:val="0"/>
          <w:sz w:val="24"/>
          <w:szCs w:val="24"/>
          <w14:ligatures w14:val="none"/>
        </w:rPr>
        <w:lastRenderedPageBreak/>
        <w:t>(MS 2021: 13), military education system resilience (MS 2021: 18), resilience to asymmetric and hybrid threats and risks (WP 2021: 28). To complicate things further, the Romanian military is responsible for national resilience (MS 2021: 3), defense planning is expected to “ensure resilience” (MS 2021: 16-17), while having a “resilient defense information system” (WP 2021: 34). R&amp;D is expected to ensure the resilience of the military (WP 2021: 48).</w:t>
      </w:r>
    </w:p>
    <w:p w14:paraId="3425E6EB"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Conclusion</w:t>
      </w:r>
    </w:p>
    <w:p w14:paraId="2D189446"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kern w:val="0"/>
          <w:sz w:val="24"/>
          <w:szCs w:val="24"/>
          <w14:ligatures w14:val="none"/>
        </w:rPr>
        <w:t xml:space="preserve">The paper has argued that liminality favors the adoption of fashionable concepts and theories specifically because their vagueness and flexibility seem to offer an adequate labeling of the problems of the liminal position itself. Hybrid warfare and resilience form the latest addition to the Romanian strategic framework. The hybrid label seems to cover all aspects of unconventional threats, risks and vulnerabilities. Resilience, analytically identical to resistance, is the </w:t>
      </w:r>
      <w:proofErr w:type="gramStart"/>
      <w:r w:rsidRPr="007D290F">
        <w:rPr>
          <w:rFonts w:ascii="Times New Roman" w:eastAsia="Times New Roman" w:hAnsi="Times New Roman" w:cs="Times New Roman"/>
          <w:kern w:val="0"/>
          <w:sz w:val="24"/>
          <w:szCs w:val="24"/>
          <w14:ligatures w14:val="none"/>
        </w:rPr>
        <w:t>quasi magical</w:t>
      </w:r>
      <w:proofErr w:type="gramEnd"/>
      <w:r w:rsidRPr="007D290F">
        <w:rPr>
          <w:rFonts w:ascii="Times New Roman" w:eastAsia="Times New Roman" w:hAnsi="Times New Roman" w:cs="Times New Roman"/>
          <w:kern w:val="0"/>
          <w:sz w:val="24"/>
          <w:szCs w:val="24"/>
          <w14:ligatures w14:val="none"/>
        </w:rPr>
        <w:t xml:space="preserve"> antidote to “hybrid” problems, hence the emphasis on increasing or consolidating different forms of sectional or institutional resilience. The assumptions of the strategic framework remain grounded in a form of realism carefully looking at the global distribution of power, while a peculiar understanding of the Copenhagen School seems to be the methodological framework which facilitates the adoption of the very vague fashionable concepts.   </w:t>
      </w:r>
    </w:p>
    <w:p w14:paraId="22FCFF2C" w14:textId="77777777" w:rsidR="007D290F" w:rsidRPr="007D290F" w:rsidRDefault="007D290F" w:rsidP="0022253B">
      <w:pPr>
        <w:spacing w:after="0" w:line="36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Literature</w:t>
      </w:r>
    </w:p>
    <w:p w14:paraId="5ED6083C"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Acharya Amitav, Barry Buzan (2007): Why Is There No Non-Western International Relations Theory? An introduction. International Relations of the Asia-Pacific, 7, 287–312</w:t>
      </w:r>
    </w:p>
    <w:p w14:paraId="5406CA0D"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Acharya Amitav, Barry Buzan (2017): Why is there no Non-Western International Relations Theory? Ten Years On. International Relations of the Asia-Pacific, 0, 1-30</w:t>
      </w:r>
    </w:p>
    <w:p w14:paraId="23822FEA"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Bhabha Homi K. (1994): The Location of Culture. London and New York: Routledge</w:t>
      </w:r>
    </w:p>
    <w:p w14:paraId="5474D9A8"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proofErr w:type="spellStart"/>
      <w:r w:rsidRPr="007D290F">
        <w:rPr>
          <w:rFonts w:ascii="Times New Roman" w:eastAsia="Times New Roman" w:hAnsi="Times New Roman" w:cs="Times New Roman"/>
          <w:kern w:val="0"/>
          <w:sz w:val="20"/>
          <w:szCs w:val="20"/>
          <w14:ligatures w14:val="none"/>
        </w:rPr>
        <w:t>Boia</w:t>
      </w:r>
      <w:proofErr w:type="spellEnd"/>
      <w:r w:rsidRPr="007D290F">
        <w:rPr>
          <w:rFonts w:ascii="Times New Roman" w:eastAsia="Times New Roman" w:hAnsi="Times New Roman" w:cs="Times New Roman"/>
          <w:kern w:val="0"/>
          <w:sz w:val="20"/>
          <w:szCs w:val="20"/>
          <w14:ligatures w14:val="none"/>
        </w:rPr>
        <w:t xml:space="preserve"> Lucian (2001): History and Myth in Romanian Consciousness. Budapest: Central European University Press</w:t>
      </w:r>
    </w:p>
    <w:p w14:paraId="21CEDDF8"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Buzan Barry (2016): People, States and Fear. An Agenda for International Security Studies in the Post-Cold War Era. Colchester: ECPR Press</w:t>
      </w:r>
    </w:p>
    <w:p w14:paraId="18264811"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Buzan Barry, </w:t>
      </w:r>
      <w:proofErr w:type="spellStart"/>
      <w:r w:rsidRPr="007D290F">
        <w:rPr>
          <w:rFonts w:ascii="Times New Roman" w:eastAsia="Times New Roman" w:hAnsi="Times New Roman" w:cs="Times New Roman"/>
          <w:kern w:val="0"/>
          <w:sz w:val="20"/>
          <w:szCs w:val="20"/>
          <w14:ligatures w14:val="none"/>
        </w:rPr>
        <w:t>Waever</w:t>
      </w:r>
      <w:proofErr w:type="spellEnd"/>
      <w:r w:rsidRPr="007D290F">
        <w:rPr>
          <w:rFonts w:ascii="Times New Roman" w:eastAsia="Times New Roman" w:hAnsi="Times New Roman" w:cs="Times New Roman"/>
          <w:kern w:val="0"/>
          <w:sz w:val="20"/>
          <w:szCs w:val="20"/>
          <w14:ligatures w14:val="none"/>
        </w:rPr>
        <w:t xml:space="preserve"> Ole, de Wilde Jaap (1998): Security. A New Framework for Analysis. Boulder, London: Lynne </w:t>
      </w:r>
      <w:proofErr w:type="spellStart"/>
      <w:r w:rsidRPr="007D290F">
        <w:rPr>
          <w:rFonts w:ascii="Times New Roman" w:eastAsia="Times New Roman" w:hAnsi="Times New Roman" w:cs="Times New Roman"/>
          <w:kern w:val="0"/>
          <w:sz w:val="20"/>
          <w:szCs w:val="20"/>
          <w14:ligatures w14:val="none"/>
        </w:rPr>
        <w:t>Rienner</w:t>
      </w:r>
      <w:proofErr w:type="spellEnd"/>
      <w:r w:rsidRPr="007D290F">
        <w:rPr>
          <w:rFonts w:ascii="Times New Roman" w:eastAsia="Times New Roman" w:hAnsi="Times New Roman" w:cs="Times New Roman"/>
          <w:kern w:val="0"/>
          <w:sz w:val="20"/>
          <w:szCs w:val="20"/>
          <w14:ligatures w14:val="none"/>
        </w:rPr>
        <w:t xml:space="preserve"> Publishers</w:t>
      </w:r>
    </w:p>
    <w:p w14:paraId="0FA766E8"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Dodds Klaus (2019): Geopolitics. A Very Short Introduction, 3rd ed. Oxford: Oxford University Press</w:t>
      </w:r>
    </w:p>
    <w:p w14:paraId="242384A3"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proofErr w:type="spellStart"/>
      <w:r w:rsidRPr="007D290F">
        <w:rPr>
          <w:rFonts w:ascii="Times New Roman" w:eastAsia="Times New Roman" w:hAnsi="Times New Roman" w:cs="Times New Roman"/>
          <w:kern w:val="0"/>
          <w:sz w:val="20"/>
          <w:szCs w:val="20"/>
          <w14:ligatures w14:val="none"/>
        </w:rPr>
        <w:t>Gennep</w:t>
      </w:r>
      <w:proofErr w:type="spellEnd"/>
      <w:r w:rsidRPr="007D290F">
        <w:rPr>
          <w:rFonts w:ascii="Times New Roman" w:eastAsia="Times New Roman" w:hAnsi="Times New Roman" w:cs="Times New Roman"/>
          <w:kern w:val="0"/>
          <w:sz w:val="20"/>
          <w:szCs w:val="20"/>
          <w14:ligatures w14:val="none"/>
        </w:rPr>
        <w:t xml:space="preserve"> Arnold Van (1960): The Rites of Passage. Chicago: University of Chicago Press</w:t>
      </w:r>
    </w:p>
    <w:p w14:paraId="01A41718"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Goldsworthy Vesna (1998): Inventing Ruritania: The Imperialism of the Imagination. New Haven and London: Yale University Press</w:t>
      </w:r>
    </w:p>
    <w:p w14:paraId="0F1697D6"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Gramsci Antonio (1992): Selection from the Prison Notebooks. New York: International Publishers</w:t>
      </w:r>
    </w:p>
    <w:p w14:paraId="70CBB559"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Hollis Martin (1994): The Philosophy of Social Science. An Introduction. Cambridge: Cambridge University Press</w:t>
      </w:r>
    </w:p>
    <w:p w14:paraId="51F8FD0C"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Hollis Martin, Smith Steve (1991): Explaining and Understanding International Relations. Oxford: Clarendon Press</w:t>
      </w:r>
    </w:p>
    <w:p w14:paraId="58109232"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Said W. Edward (1979): Orientalism. New York: Vintage Books</w:t>
      </w:r>
    </w:p>
    <w:p w14:paraId="0EC56408"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proofErr w:type="spellStart"/>
      <w:r w:rsidRPr="007D290F">
        <w:rPr>
          <w:rFonts w:ascii="Times New Roman" w:eastAsia="Times New Roman" w:hAnsi="Times New Roman" w:cs="Times New Roman"/>
          <w:kern w:val="0"/>
          <w:sz w:val="20"/>
          <w:szCs w:val="20"/>
          <w14:ligatures w14:val="none"/>
        </w:rPr>
        <w:t>Soare</w:t>
      </w:r>
      <w:proofErr w:type="spellEnd"/>
      <w:r w:rsidRPr="007D290F">
        <w:rPr>
          <w:rFonts w:ascii="Times New Roman" w:eastAsia="Times New Roman" w:hAnsi="Times New Roman" w:cs="Times New Roman"/>
          <w:kern w:val="0"/>
          <w:sz w:val="20"/>
          <w:szCs w:val="20"/>
          <w14:ligatures w14:val="none"/>
        </w:rPr>
        <w:t xml:space="preserve"> Simona (2008): Romania’s National Security Strategy – a Critical Approach of Transformational Politics. Monitor Strategic, 1-2, 53-66</w:t>
      </w:r>
    </w:p>
    <w:p w14:paraId="459B2E8B"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lastRenderedPageBreak/>
        <w:t xml:space="preserve">Spivak Gayatri Chakravorty (1988): Can the Subaltern Speak? in Nelson Carry and Grossberg Lawrence (eds.): Marxism and the Interpretation of Culture: </w:t>
      </w:r>
      <w:proofErr w:type="spellStart"/>
      <w:r w:rsidRPr="007D290F">
        <w:rPr>
          <w:rFonts w:ascii="Times New Roman" w:eastAsia="Times New Roman" w:hAnsi="Times New Roman" w:cs="Times New Roman"/>
          <w:kern w:val="0"/>
          <w:sz w:val="20"/>
          <w:szCs w:val="20"/>
          <w14:ligatures w14:val="none"/>
        </w:rPr>
        <w:t>Houndmills</w:t>
      </w:r>
      <w:proofErr w:type="spellEnd"/>
      <w:r w:rsidRPr="007D290F">
        <w:rPr>
          <w:rFonts w:ascii="Times New Roman" w:eastAsia="Times New Roman" w:hAnsi="Times New Roman" w:cs="Times New Roman"/>
          <w:kern w:val="0"/>
          <w:sz w:val="20"/>
          <w:szCs w:val="20"/>
          <w14:ligatures w14:val="none"/>
        </w:rPr>
        <w:t>, Basingstoke, Hampshire and London: Macmillan Education, 271-313</w:t>
      </w:r>
    </w:p>
    <w:p w14:paraId="6D5567B4"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Todorova Maria (2009): Imagining the Balkans. Oxford: Oxford University Press</w:t>
      </w:r>
    </w:p>
    <w:p w14:paraId="00786319"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proofErr w:type="spellStart"/>
      <w:r w:rsidRPr="007D290F">
        <w:rPr>
          <w:rFonts w:ascii="Times New Roman" w:eastAsia="Times New Roman" w:hAnsi="Times New Roman" w:cs="Times New Roman"/>
          <w:kern w:val="0"/>
          <w:sz w:val="20"/>
          <w:szCs w:val="20"/>
          <w14:ligatures w14:val="none"/>
        </w:rPr>
        <w:t>Tuathail</w:t>
      </w:r>
      <w:proofErr w:type="spellEnd"/>
      <w:r w:rsidRPr="007D290F">
        <w:rPr>
          <w:rFonts w:ascii="Times New Roman" w:eastAsia="Times New Roman" w:hAnsi="Times New Roman" w:cs="Times New Roman"/>
          <w:kern w:val="0"/>
          <w:sz w:val="20"/>
          <w:szCs w:val="20"/>
          <w14:ligatures w14:val="none"/>
        </w:rPr>
        <w:t xml:space="preserve"> Ó </w:t>
      </w:r>
      <w:proofErr w:type="spellStart"/>
      <w:r w:rsidRPr="007D290F">
        <w:rPr>
          <w:rFonts w:ascii="Times New Roman" w:eastAsia="Times New Roman" w:hAnsi="Times New Roman" w:cs="Times New Roman"/>
          <w:kern w:val="0"/>
          <w:sz w:val="20"/>
          <w:szCs w:val="20"/>
          <w14:ligatures w14:val="none"/>
        </w:rPr>
        <w:t>Gearóid</w:t>
      </w:r>
      <w:proofErr w:type="spellEnd"/>
      <w:r w:rsidRPr="007D290F">
        <w:rPr>
          <w:rFonts w:ascii="Times New Roman" w:eastAsia="Times New Roman" w:hAnsi="Times New Roman" w:cs="Times New Roman"/>
          <w:kern w:val="0"/>
          <w:sz w:val="20"/>
          <w:szCs w:val="20"/>
          <w14:ligatures w14:val="none"/>
        </w:rPr>
        <w:t>, Agnew John (1992): Geopolitics and discourse Practical geopolitical reasoning in American foreign policy. Political Geography, 11 (2), 190-204</w:t>
      </w:r>
    </w:p>
    <w:p w14:paraId="257E6F8E"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Turner Victor (1967): The Forest of Symbols. Aspects of the </w:t>
      </w:r>
      <w:proofErr w:type="spellStart"/>
      <w:r w:rsidRPr="007D290F">
        <w:rPr>
          <w:rFonts w:ascii="Times New Roman" w:eastAsia="Times New Roman" w:hAnsi="Times New Roman" w:cs="Times New Roman"/>
          <w:kern w:val="0"/>
          <w:sz w:val="20"/>
          <w:szCs w:val="20"/>
          <w14:ligatures w14:val="none"/>
        </w:rPr>
        <w:t>Ndembu</w:t>
      </w:r>
      <w:proofErr w:type="spellEnd"/>
      <w:r w:rsidRPr="007D290F">
        <w:rPr>
          <w:rFonts w:ascii="Times New Roman" w:eastAsia="Times New Roman" w:hAnsi="Times New Roman" w:cs="Times New Roman"/>
          <w:kern w:val="0"/>
          <w:sz w:val="20"/>
          <w:szCs w:val="20"/>
          <w14:ligatures w14:val="none"/>
        </w:rPr>
        <w:t xml:space="preserve"> Ritual. Ithaca and London: Cornell University Press</w:t>
      </w:r>
    </w:p>
    <w:p w14:paraId="7E8A5A46"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Warner W. Lloyd (1959): The Living and the Dead. A Study of the Symbolic Life of Americans. New Haven: Yale University Press </w:t>
      </w:r>
    </w:p>
    <w:p w14:paraId="1CB623E9" w14:textId="77777777" w:rsidR="007D290F" w:rsidRPr="007D290F" w:rsidRDefault="007D290F" w:rsidP="0022253B">
      <w:pPr>
        <w:numPr>
          <w:ilvl w:val="0"/>
          <w:numId w:val="1"/>
        </w:numPr>
        <w:spacing w:after="0" w:line="240" w:lineRule="auto"/>
        <w:jc w:val="both"/>
        <w:rPr>
          <w:rFonts w:ascii="Times New Roman" w:eastAsia="Times New Roman" w:hAnsi="Times New Roman" w:cs="Times New Roman"/>
          <w:kern w:val="0"/>
          <w:sz w:val="20"/>
          <w:szCs w:val="20"/>
          <w14:ligatures w14:val="none"/>
        </w:rPr>
      </w:pPr>
      <w:proofErr w:type="spellStart"/>
      <w:r w:rsidRPr="007D290F">
        <w:rPr>
          <w:rFonts w:ascii="Times New Roman" w:eastAsia="Times New Roman" w:hAnsi="Times New Roman" w:cs="Times New Roman"/>
          <w:kern w:val="0"/>
          <w:sz w:val="20"/>
          <w:szCs w:val="20"/>
          <w14:ligatures w14:val="none"/>
        </w:rPr>
        <w:t>Yanow</w:t>
      </w:r>
      <w:proofErr w:type="spellEnd"/>
      <w:r w:rsidRPr="007D290F">
        <w:rPr>
          <w:rFonts w:ascii="Times New Roman" w:eastAsia="Times New Roman" w:hAnsi="Times New Roman" w:cs="Times New Roman"/>
          <w:kern w:val="0"/>
          <w:sz w:val="20"/>
          <w:szCs w:val="20"/>
          <w14:ligatures w14:val="none"/>
        </w:rPr>
        <w:t xml:space="preserve"> Dvora (2000): Conducting Interpretive Policy Analysis. Thousand Oaks, London, New Delhi: Sage Publications</w:t>
      </w:r>
    </w:p>
    <w:p w14:paraId="128C4FE1" w14:textId="77777777" w:rsidR="007D290F" w:rsidRPr="007D290F" w:rsidRDefault="007D290F" w:rsidP="0022253B">
      <w:pPr>
        <w:spacing w:after="0" w:line="240" w:lineRule="auto"/>
        <w:jc w:val="both"/>
        <w:rPr>
          <w:rFonts w:ascii="Times New Roman" w:eastAsia="Times New Roman" w:hAnsi="Times New Roman" w:cs="Times New Roman"/>
          <w:kern w:val="0"/>
          <w:sz w:val="24"/>
          <w:szCs w:val="24"/>
          <w14:ligatures w14:val="none"/>
        </w:rPr>
      </w:pPr>
      <w:r w:rsidRPr="007D290F">
        <w:rPr>
          <w:rFonts w:ascii="Times New Roman" w:eastAsia="Times New Roman" w:hAnsi="Times New Roman" w:cs="Times New Roman"/>
          <w:i/>
          <w:iCs/>
          <w:kern w:val="0"/>
          <w:sz w:val="24"/>
          <w:szCs w:val="24"/>
          <w14:ligatures w14:val="none"/>
        </w:rPr>
        <w:t>Web Links</w:t>
      </w:r>
    </w:p>
    <w:p w14:paraId="2BE120FD"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European Commission (2006): Commission Decision of 13 December 2006 establishing a mechanism for cooperation and verification of progress in Romania to address specific benchmarks in the areas of judicial reform and the fight against corruption, available at </w:t>
      </w:r>
      <w:hyperlink r:id="rId7" w:history="1">
        <w:r w:rsidRPr="007D290F">
          <w:rPr>
            <w:rFonts w:ascii="Times New Roman" w:eastAsia="Times New Roman" w:hAnsi="Times New Roman" w:cs="Times New Roman"/>
            <w:color w:val="0000FF"/>
            <w:kern w:val="0"/>
            <w:sz w:val="20"/>
            <w:szCs w:val="20"/>
            <w:u w:val="single"/>
            <w14:ligatures w14:val="none"/>
          </w:rPr>
          <w:t>https://eur-lex.europa.eu/legal-content/EN/TXT/HTML/?uri=CELEX:32006D0928&amp;from=EN</w:t>
        </w:r>
      </w:hyperlink>
      <w:r w:rsidRPr="007D290F">
        <w:rPr>
          <w:rFonts w:ascii="Times New Roman" w:eastAsia="Times New Roman" w:hAnsi="Times New Roman" w:cs="Times New Roman"/>
          <w:kern w:val="0"/>
          <w:sz w:val="20"/>
          <w:szCs w:val="20"/>
          <w14:ligatures w14:val="none"/>
        </w:rPr>
        <w:t>, 12.02.2023</w:t>
      </w:r>
    </w:p>
    <w:p w14:paraId="76BB50DD"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European Commission (2020): Strategic Foresight – Charting The Course Towards A More Resilient Europe, available at </w:t>
      </w:r>
      <w:hyperlink r:id="rId8" w:anchor="footnote23" w:history="1">
        <w:r w:rsidRPr="007D290F">
          <w:rPr>
            <w:rFonts w:ascii="Times New Roman" w:eastAsia="Times New Roman" w:hAnsi="Times New Roman" w:cs="Times New Roman"/>
            <w:color w:val="0000FF"/>
            <w:kern w:val="0"/>
            <w:sz w:val="20"/>
            <w:szCs w:val="20"/>
            <w:u w:val="single"/>
            <w14:ligatures w14:val="none"/>
          </w:rPr>
          <w:t>https://eur-lex.europa.eu/legal-content/EN/TXT/HTML/?uri=CELEX:52020DC0493&amp;from=EN#footnote23</w:t>
        </w:r>
      </w:hyperlink>
      <w:r w:rsidRPr="007D290F">
        <w:rPr>
          <w:rFonts w:ascii="Times New Roman" w:eastAsia="Times New Roman" w:hAnsi="Times New Roman" w:cs="Times New Roman"/>
          <w:kern w:val="0"/>
          <w:sz w:val="20"/>
          <w:szCs w:val="20"/>
          <w14:ligatures w14:val="none"/>
        </w:rPr>
        <w:t>, 06.03.2023</w:t>
      </w:r>
    </w:p>
    <w:p w14:paraId="0B1A2F04"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proofErr w:type="spellStart"/>
      <w:r w:rsidRPr="007D290F">
        <w:rPr>
          <w:rFonts w:ascii="Times New Roman" w:eastAsia="Times New Roman" w:hAnsi="Times New Roman" w:cs="Times New Roman"/>
          <w:kern w:val="0"/>
          <w:sz w:val="20"/>
          <w:szCs w:val="20"/>
          <w14:ligatures w14:val="none"/>
        </w:rPr>
        <w:t>Filipescu</w:t>
      </w:r>
      <w:proofErr w:type="spellEnd"/>
      <w:r w:rsidRPr="007D290F">
        <w:rPr>
          <w:rFonts w:ascii="Times New Roman" w:eastAsia="Times New Roman" w:hAnsi="Times New Roman" w:cs="Times New Roman"/>
          <w:kern w:val="0"/>
          <w:sz w:val="20"/>
          <w:szCs w:val="20"/>
          <w14:ligatures w14:val="none"/>
        </w:rPr>
        <w:t xml:space="preserve"> Corina </w:t>
      </w:r>
      <w:proofErr w:type="spellStart"/>
      <w:r w:rsidRPr="007D290F">
        <w:rPr>
          <w:rFonts w:ascii="Times New Roman" w:eastAsia="Times New Roman" w:hAnsi="Times New Roman" w:cs="Times New Roman"/>
          <w:kern w:val="0"/>
          <w:sz w:val="20"/>
          <w:szCs w:val="20"/>
          <w14:ligatures w14:val="none"/>
        </w:rPr>
        <w:t>Domnina</w:t>
      </w:r>
      <w:proofErr w:type="spellEnd"/>
      <w:r w:rsidRPr="007D290F">
        <w:rPr>
          <w:rFonts w:ascii="Times New Roman" w:eastAsia="Times New Roman" w:hAnsi="Times New Roman" w:cs="Times New Roman"/>
          <w:kern w:val="0"/>
          <w:sz w:val="20"/>
          <w:szCs w:val="20"/>
          <w14:ligatures w14:val="none"/>
        </w:rPr>
        <w:t xml:space="preserve"> (2015): A postcolonial critique of the production of unequal power relations by the European Union, Birmingham: University of Birmingham, available at </w:t>
      </w:r>
      <w:hyperlink r:id="rId9" w:history="1">
        <w:r w:rsidRPr="007D290F">
          <w:rPr>
            <w:rFonts w:ascii="Times New Roman" w:eastAsia="Times New Roman" w:hAnsi="Times New Roman" w:cs="Times New Roman"/>
            <w:color w:val="0000FF"/>
            <w:kern w:val="0"/>
            <w:sz w:val="20"/>
            <w:szCs w:val="20"/>
            <w:u w:val="single"/>
            <w14:ligatures w14:val="none"/>
          </w:rPr>
          <w:t>https://web.archive.org/web/20190723111536/https://pdfs.semanticscholar.org/325c/4fc7c1ed82460988363c2ed3bd9618a10a9c.pdf</w:t>
        </w:r>
      </w:hyperlink>
      <w:r w:rsidRPr="007D290F">
        <w:rPr>
          <w:rFonts w:ascii="Times New Roman" w:eastAsia="Times New Roman" w:hAnsi="Times New Roman" w:cs="Times New Roman"/>
          <w:kern w:val="0"/>
          <w:sz w:val="20"/>
          <w:szCs w:val="20"/>
          <w14:ligatures w14:val="none"/>
        </w:rPr>
        <w:t>, 5.02.2023</w:t>
      </w:r>
    </w:p>
    <w:p w14:paraId="068A6255"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Foucault Michel (1977): The Political Function of the Intellectual. Radical Philosophy 017, 12-14, available at </w:t>
      </w:r>
      <w:hyperlink r:id="rId10" w:history="1">
        <w:r w:rsidRPr="007D290F">
          <w:rPr>
            <w:rFonts w:ascii="Times New Roman" w:eastAsia="Times New Roman" w:hAnsi="Times New Roman" w:cs="Times New Roman"/>
            <w:color w:val="0000FF"/>
            <w:kern w:val="0"/>
            <w:sz w:val="20"/>
            <w:szCs w:val="20"/>
            <w:u w:val="single"/>
            <w14:ligatures w14:val="none"/>
          </w:rPr>
          <w:t>https://www.radicalphilosophy.com/article/the-political-function-of-the-intellectual</w:t>
        </w:r>
      </w:hyperlink>
      <w:r w:rsidRPr="007D290F">
        <w:rPr>
          <w:rFonts w:ascii="Times New Roman" w:eastAsia="Times New Roman" w:hAnsi="Times New Roman" w:cs="Times New Roman"/>
          <w:kern w:val="0"/>
          <w:sz w:val="20"/>
          <w:szCs w:val="20"/>
          <w14:ligatures w14:val="none"/>
        </w:rPr>
        <w:t>, 14.02.2023</w:t>
      </w:r>
    </w:p>
    <w:p w14:paraId="05EAFB00"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Iohannis Klaus (2016): </w:t>
      </w:r>
      <w:proofErr w:type="spellStart"/>
      <w:r w:rsidRPr="007D290F">
        <w:rPr>
          <w:rFonts w:ascii="Times New Roman" w:eastAsia="Times New Roman" w:hAnsi="Times New Roman" w:cs="Times New Roman"/>
          <w:kern w:val="0"/>
          <w:sz w:val="20"/>
          <w:szCs w:val="20"/>
          <w14:ligatures w14:val="none"/>
        </w:rPr>
        <w:t>Declaraţia</w:t>
      </w:r>
      <w:proofErr w:type="spellEnd"/>
      <w:r w:rsidRPr="007D290F">
        <w:rPr>
          <w:rFonts w:ascii="Times New Roman" w:eastAsia="Times New Roman" w:hAnsi="Times New Roman" w:cs="Times New Roman"/>
          <w:kern w:val="0"/>
          <w:sz w:val="20"/>
          <w:szCs w:val="20"/>
          <w14:ligatures w14:val="none"/>
        </w:rPr>
        <w:t xml:space="preserve"> de </w:t>
      </w:r>
      <w:proofErr w:type="spellStart"/>
      <w:r w:rsidRPr="007D290F">
        <w:rPr>
          <w:rFonts w:ascii="Times New Roman" w:eastAsia="Times New Roman" w:hAnsi="Times New Roman" w:cs="Times New Roman"/>
          <w:kern w:val="0"/>
          <w:sz w:val="20"/>
          <w:szCs w:val="20"/>
          <w14:ligatures w14:val="none"/>
        </w:rPr>
        <w:t>presă</w:t>
      </w:r>
      <w:proofErr w:type="spellEnd"/>
      <w:r w:rsidRPr="007D290F">
        <w:rPr>
          <w:rFonts w:ascii="Times New Roman" w:eastAsia="Times New Roman" w:hAnsi="Times New Roman" w:cs="Times New Roman"/>
          <w:kern w:val="0"/>
          <w:sz w:val="20"/>
          <w:szCs w:val="20"/>
          <w14:ligatures w14:val="none"/>
        </w:rPr>
        <w:t xml:space="preserve"> a </w:t>
      </w:r>
      <w:proofErr w:type="spellStart"/>
      <w:r w:rsidRPr="007D290F">
        <w:rPr>
          <w:rFonts w:ascii="Times New Roman" w:eastAsia="Times New Roman" w:hAnsi="Times New Roman" w:cs="Times New Roman"/>
          <w:kern w:val="0"/>
          <w:sz w:val="20"/>
          <w:szCs w:val="20"/>
          <w14:ligatures w14:val="none"/>
        </w:rPr>
        <w:t>Preşedintelui</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României</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domnul</w:t>
      </w:r>
      <w:proofErr w:type="spellEnd"/>
      <w:r w:rsidRPr="007D290F">
        <w:rPr>
          <w:rFonts w:ascii="Times New Roman" w:eastAsia="Times New Roman" w:hAnsi="Times New Roman" w:cs="Times New Roman"/>
          <w:kern w:val="0"/>
          <w:sz w:val="20"/>
          <w:szCs w:val="20"/>
          <w14:ligatures w14:val="none"/>
        </w:rPr>
        <w:t xml:space="preserve"> Klaus Iohannis, available at </w:t>
      </w:r>
      <w:hyperlink r:id="rId11" w:history="1">
        <w:r w:rsidRPr="007D290F">
          <w:rPr>
            <w:rFonts w:ascii="Times New Roman" w:eastAsia="Times New Roman" w:hAnsi="Times New Roman" w:cs="Times New Roman"/>
            <w:color w:val="0000FF"/>
            <w:kern w:val="0"/>
            <w:sz w:val="20"/>
            <w:szCs w:val="20"/>
            <w:u w:val="single"/>
            <w14:ligatures w14:val="none"/>
          </w:rPr>
          <w:t>https://www.presidency.ro/ro/presa/noutati-despre-proiectul-de-tara/declaratia-de-presa-a-presedintelui-romaniei-domnul-klaus-iohannis1466763350</w:t>
        </w:r>
      </w:hyperlink>
      <w:r w:rsidRPr="007D290F">
        <w:rPr>
          <w:rFonts w:ascii="Times New Roman" w:eastAsia="Times New Roman" w:hAnsi="Times New Roman" w:cs="Times New Roman"/>
          <w:kern w:val="0"/>
          <w:sz w:val="20"/>
          <w:szCs w:val="20"/>
          <w14:ligatures w14:val="none"/>
        </w:rPr>
        <w:t>, 18.02.2023</w:t>
      </w:r>
    </w:p>
    <w:p w14:paraId="22ABD13F"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Institute of Geography of the Romanian Academy (2021): Romania. Geographical Facts, available at </w:t>
      </w:r>
      <w:hyperlink r:id="rId12" w:history="1">
        <w:r w:rsidRPr="007D290F">
          <w:rPr>
            <w:rFonts w:ascii="Times New Roman" w:eastAsia="Times New Roman" w:hAnsi="Times New Roman" w:cs="Times New Roman"/>
            <w:color w:val="0000FF"/>
            <w:kern w:val="0"/>
            <w:sz w:val="20"/>
            <w:szCs w:val="20"/>
            <w:u w:val="single"/>
            <w14:ligatures w14:val="none"/>
          </w:rPr>
          <w:t>https://www.presidency.ro/en/president/romania</w:t>
        </w:r>
      </w:hyperlink>
      <w:r w:rsidRPr="007D290F">
        <w:rPr>
          <w:rFonts w:ascii="Times New Roman" w:eastAsia="Times New Roman" w:hAnsi="Times New Roman" w:cs="Times New Roman"/>
          <w:kern w:val="0"/>
          <w:sz w:val="20"/>
          <w:szCs w:val="20"/>
          <w14:ligatures w14:val="none"/>
        </w:rPr>
        <w:t>, 14.02.2023</w:t>
      </w:r>
    </w:p>
    <w:p w14:paraId="348711BD"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proofErr w:type="spellStart"/>
      <w:r w:rsidRPr="007D290F">
        <w:rPr>
          <w:rFonts w:ascii="Times New Roman" w:eastAsia="Times New Roman" w:hAnsi="Times New Roman" w:cs="Times New Roman"/>
          <w:kern w:val="0"/>
          <w:sz w:val="20"/>
          <w:szCs w:val="20"/>
          <w14:ligatures w14:val="none"/>
        </w:rPr>
        <w:t>Libiseller</w:t>
      </w:r>
      <w:proofErr w:type="spellEnd"/>
      <w:r w:rsidRPr="007D290F">
        <w:rPr>
          <w:rFonts w:ascii="Times New Roman" w:eastAsia="Times New Roman" w:hAnsi="Times New Roman" w:cs="Times New Roman"/>
          <w:kern w:val="0"/>
          <w:sz w:val="20"/>
          <w:szCs w:val="20"/>
          <w14:ligatures w14:val="none"/>
        </w:rPr>
        <w:t xml:space="preserve"> Chiara (2023): ‘Hybrid Warfare’ as an Academic Fashion. Journal of Strategic Studies, available at </w:t>
      </w:r>
      <w:hyperlink r:id="rId13" w:history="1">
        <w:r w:rsidRPr="007D290F">
          <w:rPr>
            <w:rFonts w:ascii="Times New Roman" w:eastAsia="Times New Roman" w:hAnsi="Times New Roman" w:cs="Times New Roman"/>
            <w:color w:val="0000FF"/>
            <w:kern w:val="0"/>
            <w:sz w:val="20"/>
            <w:szCs w:val="20"/>
            <w:u w:val="single"/>
            <w14:ligatures w14:val="none"/>
          </w:rPr>
          <w:t>https://www.tandfonline.com/doi/full/10.1080/01402390.2023.2177987</w:t>
        </w:r>
      </w:hyperlink>
      <w:r w:rsidRPr="007D290F">
        <w:rPr>
          <w:rFonts w:ascii="Times New Roman" w:eastAsia="Times New Roman" w:hAnsi="Times New Roman" w:cs="Times New Roman"/>
          <w:kern w:val="0"/>
          <w:sz w:val="20"/>
          <w:szCs w:val="20"/>
          <w14:ligatures w14:val="none"/>
        </w:rPr>
        <w:t>, 05.03.2023</w:t>
      </w:r>
    </w:p>
    <w:p w14:paraId="3CC04DD0"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proofErr w:type="spellStart"/>
      <w:r w:rsidRPr="007D290F">
        <w:rPr>
          <w:rFonts w:ascii="Times New Roman" w:eastAsia="Times New Roman" w:hAnsi="Times New Roman" w:cs="Times New Roman"/>
          <w:kern w:val="0"/>
          <w:sz w:val="20"/>
          <w:szCs w:val="20"/>
          <w14:ligatures w14:val="none"/>
        </w:rPr>
        <w:t>Lykk</w:t>
      </w:r>
      <w:proofErr w:type="spellEnd"/>
      <w:r w:rsidRPr="007D290F">
        <w:rPr>
          <w:rFonts w:ascii="Times New Roman" w:eastAsia="Times New Roman" w:hAnsi="Times New Roman" w:cs="Times New Roman"/>
          <w:kern w:val="0"/>
          <w:sz w:val="20"/>
          <w:szCs w:val="20"/>
          <w14:ligatures w14:val="none"/>
        </w:rPr>
        <w:t xml:space="preserve"> Arthur F. Jr. (2001): Toward an Understanding of Military Strategy. In Joseph R. </w:t>
      </w:r>
      <w:proofErr w:type="spellStart"/>
      <w:r w:rsidRPr="007D290F">
        <w:rPr>
          <w:rFonts w:ascii="Times New Roman" w:eastAsia="Times New Roman" w:hAnsi="Times New Roman" w:cs="Times New Roman"/>
          <w:kern w:val="0"/>
          <w:sz w:val="20"/>
          <w:szCs w:val="20"/>
          <w14:ligatures w14:val="none"/>
        </w:rPr>
        <w:t>Cerami</w:t>
      </w:r>
      <w:proofErr w:type="spellEnd"/>
      <w:r w:rsidRPr="007D290F">
        <w:rPr>
          <w:rFonts w:ascii="Times New Roman" w:eastAsia="Times New Roman" w:hAnsi="Times New Roman" w:cs="Times New Roman"/>
          <w:kern w:val="0"/>
          <w:sz w:val="20"/>
          <w:szCs w:val="20"/>
          <w14:ligatures w14:val="none"/>
        </w:rPr>
        <w:t xml:space="preserve">, James F. Holcomb, Jr. (eds.), US Army College Guide to Strategy, available at </w:t>
      </w:r>
      <w:hyperlink r:id="rId14" w:history="1">
        <w:r w:rsidRPr="007D290F">
          <w:rPr>
            <w:rFonts w:ascii="Times New Roman" w:eastAsia="Times New Roman" w:hAnsi="Times New Roman" w:cs="Times New Roman"/>
            <w:color w:val="0000FF"/>
            <w:kern w:val="0"/>
            <w:sz w:val="20"/>
            <w:szCs w:val="20"/>
            <w:u w:val="single"/>
            <w14:ligatures w14:val="none"/>
          </w:rPr>
          <w:t>https://www.comw.org/qdr/fulltext/01cerami.pdf</w:t>
        </w:r>
      </w:hyperlink>
      <w:r w:rsidRPr="007D290F">
        <w:rPr>
          <w:rFonts w:ascii="Times New Roman" w:eastAsia="Times New Roman" w:hAnsi="Times New Roman" w:cs="Times New Roman"/>
          <w:kern w:val="0"/>
          <w:sz w:val="20"/>
          <w:szCs w:val="20"/>
          <w14:ligatures w14:val="none"/>
        </w:rPr>
        <w:t>, 05.03.2023</w:t>
      </w:r>
    </w:p>
    <w:p w14:paraId="3875E959"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proofErr w:type="spellStart"/>
      <w:r w:rsidRPr="007D290F">
        <w:rPr>
          <w:rFonts w:ascii="Times New Roman" w:eastAsia="Times New Roman" w:hAnsi="Times New Roman" w:cs="Times New Roman"/>
          <w:kern w:val="0"/>
          <w:sz w:val="20"/>
          <w:szCs w:val="20"/>
          <w14:ligatures w14:val="none"/>
        </w:rPr>
        <w:t>Manca</w:t>
      </w:r>
      <w:proofErr w:type="spellEnd"/>
      <w:r w:rsidRPr="007D290F">
        <w:rPr>
          <w:rFonts w:ascii="Times New Roman" w:eastAsia="Times New Roman" w:hAnsi="Times New Roman" w:cs="Times New Roman"/>
          <w:kern w:val="0"/>
          <w:sz w:val="20"/>
          <w:szCs w:val="20"/>
          <w14:ligatures w14:val="none"/>
        </w:rPr>
        <w:t xml:space="preserve"> Anna Rita, </w:t>
      </w:r>
      <w:proofErr w:type="spellStart"/>
      <w:r w:rsidRPr="007D290F">
        <w:rPr>
          <w:rFonts w:ascii="Times New Roman" w:eastAsia="Times New Roman" w:hAnsi="Times New Roman" w:cs="Times New Roman"/>
          <w:kern w:val="0"/>
          <w:sz w:val="20"/>
          <w:szCs w:val="20"/>
          <w14:ligatures w14:val="none"/>
        </w:rPr>
        <w:t>Benczur</w:t>
      </w:r>
      <w:proofErr w:type="spellEnd"/>
      <w:r w:rsidRPr="007D290F">
        <w:rPr>
          <w:rFonts w:ascii="Times New Roman" w:eastAsia="Times New Roman" w:hAnsi="Times New Roman" w:cs="Times New Roman"/>
          <w:kern w:val="0"/>
          <w:sz w:val="20"/>
          <w:szCs w:val="20"/>
          <w14:ligatures w14:val="none"/>
        </w:rPr>
        <w:t xml:space="preserve"> Peter; </w:t>
      </w:r>
      <w:proofErr w:type="spellStart"/>
      <w:r w:rsidRPr="007D290F">
        <w:rPr>
          <w:rFonts w:ascii="Times New Roman" w:eastAsia="Times New Roman" w:hAnsi="Times New Roman" w:cs="Times New Roman"/>
          <w:kern w:val="0"/>
          <w:sz w:val="20"/>
          <w:szCs w:val="20"/>
          <w14:ligatures w14:val="none"/>
        </w:rPr>
        <w:t>Giovannini</w:t>
      </w:r>
      <w:proofErr w:type="spellEnd"/>
      <w:r w:rsidRPr="007D290F">
        <w:rPr>
          <w:rFonts w:ascii="Times New Roman" w:eastAsia="Times New Roman" w:hAnsi="Times New Roman" w:cs="Times New Roman"/>
          <w:kern w:val="0"/>
          <w:sz w:val="20"/>
          <w:szCs w:val="20"/>
          <w14:ligatures w14:val="none"/>
        </w:rPr>
        <w:t xml:space="preserve"> Enrico (2017): Building a Scientific Narrative Towards a More Resilient EU Society Part 1: a Conceptual Framework. Luxembourg: Publications Office of the European Union available at </w:t>
      </w:r>
      <w:hyperlink r:id="rId15" w:history="1">
        <w:r w:rsidRPr="007D290F">
          <w:rPr>
            <w:rFonts w:ascii="Times New Roman" w:eastAsia="Times New Roman" w:hAnsi="Times New Roman" w:cs="Times New Roman"/>
            <w:color w:val="0000FF"/>
            <w:kern w:val="0"/>
            <w:sz w:val="20"/>
            <w:szCs w:val="20"/>
            <w:u w:val="single"/>
            <w14:ligatures w14:val="none"/>
          </w:rPr>
          <w:t>https://publications.jrc.ec.europa.eu/repository/handle/JRC106265</w:t>
        </w:r>
      </w:hyperlink>
      <w:r w:rsidRPr="007D290F">
        <w:rPr>
          <w:rFonts w:ascii="Times New Roman" w:eastAsia="Times New Roman" w:hAnsi="Times New Roman" w:cs="Times New Roman"/>
          <w:kern w:val="0"/>
          <w:sz w:val="20"/>
          <w:szCs w:val="20"/>
          <w14:ligatures w14:val="none"/>
        </w:rPr>
        <w:t>, 06.03.2023</w:t>
      </w:r>
    </w:p>
    <w:p w14:paraId="1E85CB6F"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National Defense Ministry (2021): Carta Alb</w:t>
      </w:r>
      <w:r w:rsidRPr="007D290F">
        <w:rPr>
          <w:rFonts w:ascii="Times New Roman" w:eastAsia="Times New Roman" w:hAnsi="Times New Roman" w:cs="Times New Roman"/>
          <w:kern w:val="0"/>
          <w:sz w:val="20"/>
          <w:szCs w:val="20"/>
          <w:lang w:val="ro-RO"/>
          <w14:ligatures w14:val="none"/>
        </w:rPr>
        <w:t>ă</w:t>
      </w:r>
      <w:r w:rsidRPr="007D290F">
        <w:rPr>
          <w:rFonts w:ascii="Times New Roman" w:eastAsia="Times New Roman" w:hAnsi="Times New Roman" w:cs="Times New Roman"/>
          <w:kern w:val="0"/>
          <w:sz w:val="20"/>
          <w:szCs w:val="20"/>
          <w14:ligatures w14:val="none"/>
        </w:rPr>
        <w:t xml:space="preserve"> a Ap</w:t>
      </w:r>
      <w:proofErr w:type="spellStart"/>
      <w:r w:rsidRPr="007D290F">
        <w:rPr>
          <w:rFonts w:ascii="Times New Roman" w:eastAsia="Times New Roman" w:hAnsi="Times New Roman" w:cs="Times New Roman"/>
          <w:kern w:val="0"/>
          <w:sz w:val="20"/>
          <w:szCs w:val="20"/>
          <w:lang w:val="ro-RO"/>
          <w14:ligatures w14:val="none"/>
        </w:rPr>
        <w:t>ărării</w:t>
      </w:r>
      <w:proofErr w:type="spellEnd"/>
      <w:r w:rsidRPr="007D290F">
        <w:rPr>
          <w:rFonts w:ascii="Times New Roman" w:eastAsia="Times New Roman" w:hAnsi="Times New Roman" w:cs="Times New Roman"/>
          <w:kern w:val="0"/>
          <w:sz w:val="20"/>
          <w:szCs w:val="20"/>
          <w:lang w:val="ro-RO"/>
          <w14:ligatures w14:val="none"/>
        </w:rPr>
        <w:t xml:space="preserve">, </w:t>
      </w:r>
      <w:proofErr w:type="spellStart"/>
      <w:r w:rsidRPr="007D290F">
        <w:rPr>
          <w:rFonts w:ascii="Times New Roman" w:eastAsia="Times New Roman" w:hAnsi="Times New Roman" w:cs="Times New Roman"/>
          <w:kern w:val="0"/>
          <w:sz w:val="20"/>
          <w:szCs w:val="20"/>
          <w:lang w:val="ro-RO"/>
          <w14:ligatures w14:val="none"/>
        </w:rPr>
        <w:t>availa</w:t>
      </w:r>
      <w:r w:rsidRPr="007D290F">
        <w:rPr>
          <w:rFonts w:ascii="Times New Roman" w:eastAsia="Times New Roman" w:hAnsi="Times New Roman" w:cs="Times New Roman"/>
          <w:kern w:val="0"/>
          <w:sz w:val="20"/>
          <w:szCs w:val="20"/>
          <w14:ligatures w14:val="none"/>
        </w:rPr>
        <w:t>ble</w:t>
      </w:r>
      <w:proofErr w:type="spellEnd"/>
      <w:r w:rsidRPr="007D290F">
        <w:rPr>
          <w:rFonts w:ascii="Times New Roman" w:eastAsia="Times New Roman" w:hAnsi="Times New Roman" w:cs="Times New Roman"/>
          <w:kern w:val="0"/>
          <w:sz w:val="20"/>
          <w:szCs w:val="20"/>
          <w14:ligatures w14:val="none"/>
        </w:rPr>
        <w:t xml:space="preserve"> at </w:t>
      </w:r>
      <w:hyperlink r:id="rId16" w:history="1">
        <w:r w:rsidRPr="007D290F">
          <w:rPr>
            <w:rFonts w:ascii="Times New Roman" w:eastAsia="Times New Roman" w:hAnsi="Times New Roman" w:cs="Times New Roman"/>
            <w:color w:val="0000FF"/>
            <w:kern w:val="0"/>
            <w:sz w:val="20"/>
            <w:szCs w:val="20"/>
            <w:u w:val="single"/>
            <w14:ligatures w14:val="none"/>
          </w:rPr>
          <w:t>https://sgg.gov.ro/1/wp-content/uploads/2021/03/CARTA-ALBA-A-APARARII-.pdf</w:t>
        </w:r>
      </w:hyperlink>
      <w:r w:rsidRPr="007D290F">
        <w:rPr>
          <w:rFonts w:ascii="Times New Roman" w:eastAsia="Times New Roman" w:hAnsi="Times New Roman" w:cs="Times New Roman"/>
          <w:kern w:val="0"/>
          <w:sz w:val="20"/>
          <w:szCs w:val="20"/>
          <w14:ligatures w14:val="none"/>
        </w:rPr>
        <w:t>, 05.02.2023</w:t>
      </w:r>
    </w:p>
    <w:p w14:paraId="0DDA1B79"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National Defense Ministry (2021): </w:t>
      </w:r>
      <w:proofErr w:type="spellStart"/>
      <w:r w:rsidRPr="007D290F">
        <w:rPr>
          <w:rFonts w:ascii="Times New Roman" w:eastAsia="Times New Roman" w:hAnsi="Times New Roman" w:cs="Times New Roman"/>
          <w:kern w:val="0"/>
          <w:sz w:val="20"/>
          <w:szCs w:val="20"/>
          <w14:ligatures w14:val="none"/>
        </w:rPr>
        <w:t>Strategia</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Militară</w:t>
      </w:r>
      <w:proofErr w:type="spellEnd"/>
      <w:r w:rsidRPr="007D290F">
        <w:rPr>
          <w:rFonts w:ascii="Times New Roman" w:eastAsia="Times New Roman" w:hAnsi="Times New Roman" w:cs="Times New Roman"/>
          <w:kern w:val="0"/>
          <w:sz w:val="20"/>
          <w:szCs w:val="20"/>
          <w14:ligatures w14:val="none"/>
        </w:rPr>
        <w:t xml:space="preserve"> a </w:t>
      </w:r>
      <w:proofErr w:type="spellStart"/>
      <w:r w:rsidRPr="007D290F">
        <w:rPr>
          <w:rFonts w:ascii="Times New Roman" w:eastAsia="Times New Roman" w:hAnsi="Times New Roman" w:cs="Times New Roman"/>
          <w:kern w:val="0"/>
          <w:sz w:val="20"/>
          <w:szCs w:val="20"/>
          <w14:ligatures w14:val="none"/>
        </w:rPr>
        <w:t>României</w:t>
      </w:r>
      <w:proofErr w:type="spellEnd"/>
      <w:r w:rsidRPr="007D290F">
        <w:rPr>
          <w:rFonts w:ascii="Times New Roman" w:eastAsia="Times New Roman" w:hAnsi="Times New Roman" w:cs="Times New Roman"/>
          <w:kern w:val="0"/>
          <w:sz w:val="20"/>
          <w:szCs w:val="20"/>
          <w14:ligatures w14:val="none"/>
        </w:rPr>
        <w:t xml:space="preserve">. Capacitate </w:t>
      </w:r>
      <w:proofErr w:type="spellStart"/>
      <w:r w:rsidRPr="007D290F">
        <w:rPr>
          <w:rFonts w:ascii="Times New Roman" w:eastAsia="Times New Roman" w:hAnsi="Times New Roman" w:cs="Times New Roman"/>
          <w:kern w:val="0"/>
          <w:sz w:val="20"/>
          <w:szCs w:val="20"/>
          <w14:ligatures w14:val="none"/>
        </w:rPr>
        <w:t>defensivă</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credibilă</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pentru</w:t>
      </w:r>
      <w:proofErr w:type="spellEnd"/>
      <w:r w:rsidRPr="007D290F">
        <w:rPr>
          <w:rFonts w:ascii="Times New Roman" w:eastAsia="Times New Roman" w:hAnsi="Times New Roman" w:cs="Times New Roman"/>
          <w:kern w:val="0"/>
          <w:sz w:val="20"/>
          <w:szCs w:val="20"/>
          <w14:ligatures w14:val="none"/>
        </w:rPr>
        <w:t xml:space="preserve"> o </w:t>
      </w:r>
      <w:proofErr w:type="spellStart"/>
      <w:r w:rsidRPr="007D290F">
        <w:rPr>
          <w:rFonts w:ascii="Times New Roman" w:eastAsia="Times New Roman" w:hAnsi="Times New Roman" w:cs="Times New Roman"/>
          <w:kern w:val="0"/>
          <w:sz w:val="20"/>
          <w:szCs w:val="20"/>
          <w14:ligatures w14:val="none"/>
        </w:rPr>
        <w:t>Românie</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sigură</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într</w:t>
      </w:r>
      <w:proofErr w:type="spellEnd"/>
      <w:r w:rsidRPr="007D290F">
        <w:rPr>
          <w:rFonts w:ascii="Times New Roman" w:eastAsia="Times New Roman" w:hAnsi="Times New Roman" w:cs="Times New Roman"/>
          <w:kern w:val="0"/>
          <w:sz w:val="20"/>
          <w:szCs w:val="20"/>
          <w14:ligatures w14:val="none"/>
        </w:rPr>
        <w:t xml:space="preserve">-o </w:t>
      </w:r>
      <w:proofErr w:type="spellStart"/>
      <w:r w:rsidRPr="007D290F">
        <w:rPr>
          <w:rFonts w:ascii="Times New Roman" w:eastAsia="Times New Roman" w:hAnsi="Times New Roman" w:cs="Times New Roman"/>
          <w:kern w:val="0"/>
          <w:sz w:val="20"/>
          <w:szCs w:val="20"/>
          <w14:ligatures w14:val="none"/>
        </w:rPr>
        <w:t>lume</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marcată</w:t>
      </w:r>
      <w:proofErr w:type="spellEnd"/>
      <w:r w:rsidRPr="007D290F">
        <w:rPr>
          <w:rFonts w:ascii="Times New Roman" w:eastAsia="Times New Roman" w:hAnsi="Times New Roman" w:cs="Times New Roman"/>
          <w:kern w:val="0"/>
          <w:sz w:val="20"/>
          <w:szCs w:val="20"/>
          <w14:ligatures w14:val="none"/>
        </w:rPr>
        <w:t xml:space="preserve"> de </w:t>
      </w:r>
      <w:proofErr w:type="spellStart"/>
      <w:r w:rsidRPr="007D290F">
        <w:rPr>
          <w:rFonts w:ascii="Times New Roman" w:eastAsia="Times New Roman" w:hAnsi="Times New Roman" w:cs="Times New Roman"/>
          <w:kern w:val="0"/>
          <w:sz w:val="20"/>
          <w:szCs w:val="20"/>
          <w14:ligatures w14:val="none"/>
        </w:rPr>
        <w:t>noi</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provocări</w:t>
      </w:r>
      <w:proofErr w:type="spellEnd"/>
      <w:r w:rsidRPr="007D290F">
        <w:rPr>
          <w:rFonts w:ascii="Times New Roman" w:eastAsia="Times New Roman" w:hAnsi="Times New Roman" w:cs="Times New Roman"/>
          <w:kern w:val="0"/>
          <w:sz w:val="20"/>
          <w:szCs w:val="20"/>
          <w14:ligatures w14:val="none"/>
        </w:rPr>
        <w:t xml:space="preserve">, available at </w:t>
      </w:r>
      <w:hyperlink r:id="rId17" w:history="1">
        <w:r w:rsidRPr="007D290F">
          <w:rPr>
            <w:rFonts w:ascii="Times New Roman" w:eastAsia="Times New Roman" w:hAnsi="Times New Roman" w:cs="Times New Roman"/>
            <w:color w:val="0000FF"/>
            <w:kern w:val="0"/>
            <w:sz w:val="20"/>
            <w:szCs w:val="20"/>
            <w:u w:val="single"/>
            <w14:ligatures w14:val="none"/>
          </w:rPr>
          <w:t>https://sgg.gov.ro/1/wp-content/uploads/2021/08/STRATEGIA-MILITARA-A-ROMANIEI-1.pdf</w:t>
        </w:r>
      </w:hyperlink>
      <w:r w:rsidRPr="007D290F">
        <w:rPr>
          <w:rFonts w:ascii="Times New Roman" w:eastAsia="Times New Roman" w:hAnsi="Times New Roman" w:cs="Times New Roman"/>
          <w:kern w:val="0"/>
          <w:sz w:val="20"/>
          <w:szCs w:val="20"/>
          <w14:ligatures w14:val="none"/>
        </w:rPr>
        <w:t>, 07.03.2023</w:t>
      </w:r>
    </w:p>
    <w:p w14:paraId="035CA2A3"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Official Journal of the European Union (2005): ACT concerning the conditions of accession of the Republic of Bulgaria and Romania and the adjustments to the treaties on which the European Union is founded, available at </w:t>
      </w:r>
      <w:hyperlink r:id="rId18" w:history="1">
        <w:r w:rsidRPr="007D290F">
          <w:rPr>
            <w:rFonts w:ascii="Times New Roman" w:eastAsia="Times New Roman" w:hAnsi="Times New Roman" w:cs="Times New Roman"/>
            <w:color w:val="0000FF"/>
            <w:kern w:val="0"/>
            <w:sz w:val="20"/>
            <w:szCs w:val="20"/>
            <w:u w:val="single"/>
            <w14:ligatures w14:val="none"/>
          </w:rPr>
          <w:t>https://eur-lex.europa.eu/legal-content/EN/TXT/HTML/?uri=CELEX:12005SA&amp;from=EN</w:t>
        </w:r>
      </w:hyperlink>
      <w:r w:rsidRPr="007D290F">
        <w:rPr>
          <w:rFonts w:ascii="Times New Roman" w:eastAsia="Times New Roman" w:hAnsi="Times New Roman" w:cs="Times New Roman"/>
          <w:kern w:val="0"/>
          <w:sz w:val="20"/>
          <w:szCs w:val="20"/>
          <w14:ligatures w14:val="none"/>
        </w:rPr>
        <w:t>, 10.01.2023</w:t>
      </w:r>
    </w:p>
    <w:p w14:paraId="13D80B1A"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Parliament of Romania (2015): </w:t>
      </w:r>
      <w:proofErr w:type="spellStart"/>
      <w:r w:rsidRPr="007D290F">
        <w:rPr>
          <w:rFonts w:ascii="Times New Roman" w:eastAsia="Times New Roman" w:hAnsi="Times New Roman" w:cs="Times New Roman"/>
          <w:kern w:val="0"/>
          <w:sz w:val="20"/>
          <w:szCs w:val="20"/>
          <w14:ligatures w14:val="none"/>
        </w:rPr>
        <w:t>Legea</w:t>
      </w:r>
      <w:proofErr w:type="spellEnd"/>
      <w:r w:rsidRPr="007D290F">
        <w:rPr>
          <w:rFonts w:ascii="Times New Roman" w:eastAsia="Times New Roman" w:hAnsi="Times New Roman" w:cs="Times New Roman"/>
          <w:kern w:val="0"/>
          <w:sz w:val="20"/>
          <w:szCs w:val="20"/>
          <w14:ligatures w14:val="none"/>
        </w:rPr>
        <w:t xml:space="preserve"> nr. 203/16.07.2015 </w:t>
      </w:r>
      <w:proofErr w:type="spellStart"/>
      <w:r w:rsidRPr="007D290F">
        <w:rPr>
          <w:rFonts w:ascii="Times New Roman" w:eastAsia="Times New Roman" w:hAnsi="Times New Roman" w:cs="Times New Roman"/>
          <w:kern w:val="0"/>
          <w:sz w:val="20"/>
          <w:szCs w:val="20"/>
          <w14:ligatures w14:val="none"/>
        </w:rPr>
        <w:t>privind</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planificarea</w:t>
      </w:r>
      <w:proofErr w:type="spellEnd"/>
      <w:r w:rsidRPr="007D290F">
        <w:rPr>
          <w:rFonts w:ascii="Times New Roman" w:eastAsia="Times New Roman" w:hAnsi="Times New Roman" w:cs="Times New Roman"/>
          <w:kern w:val="0"/>
          <w:sz w:val="20"/>
          <w:szCs w:val="20"/>
          <w14:ligatures w14:val="none"/>
        </w:rPr>
        <w:t xml:space="preserve"> </w:t>
      </w:r>
      <w:r w:rsidRPr="007D290F">
        <w:rPr>
          <w:rFonts w:ascii="Times New Roman" w:eastAsia="Times New Roman" w:hAnsi="Times New Roman" w:cs="Times New Roman"/>
          <w:kern w:val="0"/>
          <w:sz w:val="20"/>
          <w:szCs w:val="20"/>
          <w:lang w:val="ro-RO"/>
          <w14:ligatures w14:val="none"/>
        </w:rPr>
        <w:t>apărării</w:t>
      </w:r>
      <w:r w:rsidRPr="007D290F">
        <w:rPr>
          <w:rFonts w:ascii="Times New Roman" w:eastAsia="Times New Roman" w:hAnsi="Times New Roman" w:cs="Times New Roman"/>
          <w:kern w:val="0"/>
          <w:sz w:val="20"/>
          <w:szCs w:val="20"/>
          <w14:ligatures w14:val="none"/>
        </w:rPr>
        <w:t xml:space="preserve">, available at </w:t>
      </w:r>
      <w:hyperlink r:id="rId19" w:history="1">
        <w:r w:rsidRPr="007D290F">
          <w:rPr>
            <w:rFonts w:ascii="Times New Roman" w:eastAsia="Times New Roman" w:hAnsi="Times New Roman" w:cs="Times New Roman"/>
            <w:color w:val="0000FF"/>
            <w:kern w:val="0"/>
            <w:sz w:val="20"/>
            <w:szCs w:val="20"/>
            <w:u w:val="single"/>
            <w14:ligatures w14:val="none"/>
          </w:rPr>
          <w:t>https://legislatie.just.ro/Public/DetaliiDocumentAfis/198967</w:t>
        </w:r>
      </w:hyperlink>
      <w:r w:rsidRPr="007D290F">
        <w:rPr>
          <w:rFonts w:ascii="Times New Roman" w:eastAsia="Times New Roman" w:hAnsi="Times New Roman" w:cs="Times New Roman"/>
          <w:kern w:val="0"/>
          <w:sz w:val="20"/>
          <w:szCs w:val="20"/>
          <w14:ligatures w14:val="none"/>
        </w:rPr>
        <w:t xml:space="preserve">, 03.02.2023 </w:t>
      </w:r>
    </w:p>
    <w:p w14:paraId="622EADA6" w14:textId="77777777" w:rsidR="007D290F" w:rsidRPr="007D290F" w:rsidRDefault="007D290F" w:rsidP="006813A8">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Parliament of Romania (2007): </w:t>
      </w:r>
      <w:proofErr w:type="spellStart"/>
      <w:r w:rsidRPr="007D290F">
        <w:rPr>
          <w:rFonts w:ascii="Times New Roman" w:eastAsia="Times New Roman" w:hAnsi="Times New Roman" w:cs="Times New Roman"/>
          <w:kern w:val="0"/>
          <w:sz w:val="20"/>
          <w:szCs w:val="20"/>
          <w14:ligatures w14:val="none"/>
        </w:rPr>
        <w:t>Constitu</w:t>
      </w:r>
      <w:r w:rsidRPr="007D290F">
        <w:rPr>
          <w:rFonts w:ascii="Times New Roman" w:eastAsia="Times New Roman" w:hAnsi="Times New Roman" w:cs="Times New Roman"/>
          <w:kern w:val="0"/>
          <w:sz w:val="20"/>
          <w:szCs w:val="20"/>
          <w:lang w:val="ro-RO"/>
          <w14:ligatures w14:val="none"/>
        </w:rPr>
        <w:t>ţia</w:t>
      </w:r>
      <w:proofErr w:type="spellEnd"/>
      <w:r w:rsidRPr="007D290F">
        <w:rPr>
          <w:rFonts w:ascii="Times New Roman" w:eastAsia="Times New Roman" w:hAnsi="Times New Roman" w:cs="Times New Roman"/>
          <w:kern w:val="0"/>
          <w:sz w:val="20"/>
          <w:szCs w:val="20"/>
          <w:lang w:val="ro-RO"/>
          <w14:ligatures w14:val="none"/>
        </w:rPr>
        <w:t xml:space="preserve"> României</w:t>
      </w:r>
      <w:r w:rsidRPr="007D290F">
        <w:rPr>
          <w:rFonts w:ascii="Times New Roman" w:eastAsia="Times New Roman" w:hAnsi="Times New Roman" w:cs="Times New Roman"/>
          <w:kern w:val="0"/>
          <w:sz w:val="20"/>
          <w:szCs w:val="20"/>
          <w14:ligatures w14:val="none"/>
        </w:rPr>
        <w:t xml:space="preserve">, available at </w:t>
      </w:r>
      <w:hyperlink r:id="rId20" w:anchor="t3c2s0sba92" w:history="1">
        <w:r w:rsidRPr="007D290F">
          <w:rPr>
            <w:rFonts w:ascii="Times New Roman" w:eastAsia="Times New Roman" w:hAnsi="Times New Roman" w:cs="Times New Roman"/>
            <w:color w:val="0000FF"/>
            <w:kern w:val="0"/>
            <w:sz w:val="20"/>
            <w:szCs w:val="20"/>
            <w:u w:val="single"/>
            <w14:ligatures w14:val="none"/>
          </w:rPr>
          <w:t>https://www.cdep.ro/pls/dic/site2015.page?den=act2_1&amp;par1=3#t3c2s0sba92</w:t>
        </w:r>
      </w:hyperlink>
      <w:r w:rsidRPr="007D290F">
        <w:rPr>
          <w:rFonts w:ascii="Times New Roman" w:eastAsia="Times New Roman" w:hAnsi="Times New Roman" w:cs="Times New Roman"/>
          <w:kern w:val="0"/>
          <w:sz w:val="20"/>
          <w:szCs w:val="20"/>
          <w14:ligatures w14:val="none"/>
        </w:rPr>
        <w:t>, 04.02.2023</w:t>
      </w:r>
    </w:p>
    <w:p w14:paraId="3D9F080D" w14:textId="039CDFB1" w:rsidR="00930E7F" w:rsidRPr="006813A8" w:rsidRDefault="007D290F" w:rsidP="0022253B">
      <w:pPr>
        <w:numPr>
          <w:ilvl w:val="0"/>
          <w:numId w:val="2"/>
        </w:numPr>
        <w:spacing w:after="0" w:line="240" w:lineRule="auto"/>
        <w:jc w:val="both"/>
        <w:rPr>
          <w:rFonts w:ascii="Times New Roman" w:eastAsia="Times New Roman" w:hAnsi="Times New Roman" w:cs="Times New Roman"/>
          <w:kern w:val="0"/>
          <w:sz w:val="20"/>
          <w:szCs w:val="20"/>
          <w14:ligatures w14:val="none"/>
        </w:rPr>
      </w:pPr>
      <w:r w:rsidRPr="007D290F">
        <w:rPr>
          <w:rFonts w:ascii="Times New Roman" w:eastAsia="Times New Roman" w:hAnsi="Times New Roman" w:cs="Times New Roman"/>
          <w:kern w:val="0"/>
          <w:sz w:val="20"/>
          <w:szCs w:val="20"/>
          <w14:ligatures w14:val="none"/>
        </w:rPr>
        <w:t xml:space="preserve">Romanian Presidency (2020), </w:t>
      </w:r>
      <w:proofErr w:type="spellStart"/>
      <w:r w:rsidRPr="007D290F">
        <w:rPr>
          <w:rFonts w:ascii="Times New Roman" w:eastAsia="Times New Roman" w:hAnsi="Times New Roman" w:cs="Times New Roman"/>
          <w:kern w:val="0"/>
          <w:sz w:val="20"/>
          <w:szCs w:val="20"/>
          <w14:ligatures w14:val="none"/>
        </w:rPr>
        <w:t>Strategia</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lang w:val="ro-RO"/>
          <w14:ligatures w14:val="none"/>
        </w:rPr>
        <w:t>naţională</w:t>
      </w:r>
      <w:proofErr w:type="spellEnd"/>
      <w:r w:rsidRPr="007D290F">
        <w:rPr>
          <w:rFonts w:ascii="Times New Roman" w:eastAsia="Times New Roman" w:hAnsi="Times New Roman" w:cs="Times New Roman"/>
          <w:kern w:val="0"/>
          <w:sz w:val="20"/>
          <w:szCs w:val="20"/>
          <w:lang w:val="ro-RO"/>
          <w14:ligatures w14:val="none"/>
        </w:rPr>
        <w:t xml:space="preserve"> de apărare a </w:t>
      </w:r>
      <w:proofErr w:type="spellStart"/>
      <w:r w:rsidRPr="007D290F">
        <w:rPr>
          <w:rFonts w:ascii="Times New Roman" w:eastAsia="Times New Roman" w:hAnsi="Times New Roman" w:cs="Times New Roman"/>
          <w:kern w:val="0"/>
          <w:sz w:val="20"/>
          <w:szCs w:val="20"/>
          <w:lang w:val="ro-RO"/>
          <w14:ligatures w14:val="none"/>
        </w:rPr>
        <w:t>ţării</w:t>
      </w:r>
      <w:proofErr w:type="spellEnd"/>
      <w:r w:rsidRPr="007D290F">
        <w:rPr>
          <w:rFonts w:ascii="Times New Roman" w:eastAsia="Times New Roman" w:hAnsi="Times New Roman" w:cs="Times New Roman"/>
          <w:kern w:val="0"/>
          <w:sz w:val="20"/>
          <w:szCs w:val="20"/>
          <w:lang w:val="ro-RO"/>
          <w14:ligatures w14:val="none"/>
        </w:rPr>
        <w:t xml:space="preserve">. </w:t>
      </w:r>
      <w:proofErr w:type="spellStart"/>
      <w:r w:rsidRPr="007D290F">
        <w:rPr>
          <w:rFonts w:ascii="Times New Roman" w:eastAsia="Times New Roman" w:hAnsi="Times New Roman" w:cs="Times New Roman"/>
          <w:kern w:val="0"/>
          <w:sz w:val="20"/>
          <w:szCs w:val="20"/>
          <w14:ligatures w14:val="none"/>
        </w:rPr>
        <w:t>Împreună</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pentru</w:t>
      </w:r>
      <w:proofErr w:type="spellEnd"/>
      <w:r w:rsidRPr="007D290F">
        <w:rPr>
          <w:rFonts w:ascii="Times New Roman" w:eastAsia="Times New Roman" w:hAnsi="Times New Roman" w:cs="Times New Roman"/>
          <w:kern w:val="0"/>
          <w:sz w:val="20"/>
          <w:szCs w:val="20"/>
          <w14:ligatures w14:val="none"/>
        </w:rPr>
        <w:t xml:space="preserve"> o </w:t>
      </w:r>
      <w:proofErr w:type="spellStart"/>
      <w:r w:rsidRPr="007D290F">
        <w:rPr>
          <w:rFonts w:ascii="Times New Roman" w:eastAsia="Times New Roman" w:hAnsi="Times New Roman" w:cs="Times New Roman"/>
          <w:kern w:val="0"/>
          <w:sz w:val="20"/>
          <w:szCs w:val="20"/>
          <w14:ligatures w14:val="none"/>
        </w:rPr>
        <w:t>Românie</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sigură</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şi</w:t>
      </w:r>
      <w:proofErr w:type="spellEnd"/>
      <w:r w:rsidRPr="007D290F">
        <w:rPr>
          <w:rFonts w:ascii="Times New Roman" w:eastAsia="Times New Roman" w:hAnsi="Times New Roman" w:cs="Times New Roman"/>
          <w:kern w:val="0"/>
          <w:sz w:val="20"/>
          <w:szCs w:val="20"/>
          <w14:ligatures w14:val="none"/>
        </w:rPr>
        <w:t xml:space="preserve"> prosper </w:t>
      </w:r>
      <w:proofErr w:type="spellStart"/>
      <w:r w:rsidRPr="007D290F">
        <w:rPr>
          <w:rFonts w:ascii="Times New Roman" w:eastAsia="Times New Roman" w:hAnsi="Times New Roman" w:cs="Times New Roman"/>
          <w:kern w:val="0"/>
          <w:sz w:val="20"/>
          <w:szCs w:val="20"/>
          <w14:ligatures w14:val="none"/>
        </w:rPr>
        <w:t>într</w:t>
      </w:r>
      <w:proofErr w:type="spellEnd"/>
      <w:r w:rsidRPr="007D290F">
        <w:rPr>
          <w:rFonts w:ascii="Times New Roman" w:eastAsia="Times New Roman" w:hAnsi="Times New Roman" w:cs="Times New Roman"/>
          <w:kern w:val="0"/>
          <w:sz w:val="20"/>
          <w:szCs w:val="20"/>
          <w14:ligatures w14:val="none"/>
        </w:rPr>
        <w:t xml:space="preserve">-o </w:t>
      </w:r>
      <w:proofErr w:type="spellStart"/>
      <w:r w:rsidRPr="007D290F">
        <w:rPr>
          <w:rFonts w:ascii="Times New Roman" w:eastAsia="Times New Roman" w:hAnsi="Times New Roman" w:cs="Times New Roman"/>
          <w:kern w:val="0"/>
          <w:sz w:val="20"/>
          <w:szCs w:val="20"/>
          <w14:ligatures w14:val="none"/>
        </w:rPr>
        <w:t>lume</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marcată</w:t>
      </w:r>
      <w:proofErr w:type="spellEnd"/>
      <w:r w:rsidRPr="007D290F">
        <w:rPr>
          <w:rFonts w:ascii="Times New Roman" w:eastAsia="Times New Roman" w:hAnsi="Times New Roman" w:cs="Times New Roman"/>
          <w:kern w:val="0"/>
          <w:sz w:val="20"/>
          <w:szCs w:val="20"/>
          <w14:ligatures w14:val="none"/>
        </w:rPr>
        <w:t xml:space="preserve"> de </w:t>
      </w:r>
      <w:proofErr w:type="spellStart"/>
      <w:r w:rsidRPr="007D290F">
        <w:rPr>
          <w:rFonts w:ascii="Times New Roman" w:eastAsia="Times New Roman" w:hAnsi="Times New Roman" w:cs="Times New Roman"/>
          <w:kern w:val="0"/>
          <w:sz w:val="20"/>
          <w:szCs w:val="20"/>
          <w14:ligatures w14:val="none"/>
        </w:rPr>
        <w:t>noi</w:t>
      </w:r>
      <w:proofErr w:type="spellEnd"/>
      <w:r w:rsidRPr="007D290F">
        <w:rPr>
          <w:rFonts w:ascii="Times New Roman" w:eastAsia="Times New Roman" w:hAnsi="Times New Roman" w:cs="Times New Roman"/>
          <w:kern w:val="0"/>
          <w:sz w:val="20"/>
          <w:szCs w:val="20"/>
          <w14:ligatures w14:val="none"/>
        </w:rPr>
        <w:t xml:space="preserve"> </w:t>
      </w:r>
      <w:proofErr w:type="spellStart"/>
      <w:r w:rsidRPr="007D290F">
        <w:rPr>
          <w:rFonts w:ascii="Times New Roman" w:eastAsia="Times New Roman" w:hAnsi="Times New Roman" w:cs="Times New Roman"/>
          <w:kern w:val="0"/>
          <w:sz w:val="20"/>
          <w:szCs w:val="20"/>
          <w14:ligatures w14:val="none"/>
        </w:rPr>
        <w:t>provocări</w:t>
      </w:r>
      <w:proofErr w:type="spellEnd"/>
      <w:r w:rsidRPr="007D290F">
        <w:rPr>
          <w:rFonts w:ascii="Times New Roman" w:eastAsia="Times New Roman" w:hAnsi="Times New Roman" w:cs="Times New Roman"/>
          <w:kern w:val="0"/>
          <w:sz w:val="20"/>
          <w:szCs w:val="20"/>
          <w14:ligatures w14:val="none"/>
        </w:rPr>
        <w:t xml:space="preserve">, available at </w:t>
      </w:r>
      <w:hyperlink r:id="rId21" w:history="1">
        <w:r w:rsidRPr="007D290F">
          <w:rPr>
            <w:rFonts w:ascii="Times New Roman" w:eastAsia="Times New Roman" w:hAnsi="Times New Roman" w:cs="Times New Roman"/>
            <w:color w:val="0000FF"/>
            <w:kern w:val="0"/>
            <w:sz w:val="20"/>
            <w:szCs w:val="20"/>
            <w:u w:val="single"/>
            <w14:ligatures w14:val="none"/>
          </w:rPr>
          <w:t>https://www.presidency.ro/files/userfiles/Documente/Strategia_Nationala_de_Aparare_a_Tarii_2020_2024.pdf</w:t>
        </w:r>
      </w:hyperlink>
      <w:r w:rsidRPr="007D290F">
        <w:rPr>
          <w:rFonts w:ascii="Times New Roman" w:eastAsia="Times New Roman" w:hAnsi="Times New Roman" w:cs="Times New Roman"/>
          <w:kern w:val="0"/>
          <w:sz w:val="20"/>
          <w:szCs w:val="20"/>
          <w14:ligatures w14:val="none"/>
        </w:rPr>
        <w:t>, 05.02.2023</w:t>
      </w:r>
    </w:p>
    <w:sectPr w:rsidR="00930E7F" w:rsidRPr="0068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37E6A"/>
    <w:multiLevelType w:val="multilevel"/>
    <w:tmpl w:val="EEE2F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420CF"/>
    <w:multiLevelType w:val="multilevel"/>
    <w:tmpl w:val="C526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2596029">
    <w:abstractNumId w:val="1"/>
  </w:num>
  <w:num w:numId="2" w16cid:durableId="48982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0F"/>
    <w:rsid w:val="0022253B"/>
    <w:rsid w:val="006813A8"/>
    <w:rsid w:val="007D290F"/>
    <w:rsid w:val="00930E7F"/>
    <w:rsid w:val="00997EBE"/>
    <w:rsid w:val="00AC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7D"/>
  <w15:chartTrackingRefBased/>
  <w15:docId w15:val="{588166E6-5C58-4CB7-9A20-E254E876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9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7D290F"/>
    <w:rPr>
      <w:i/>
      <w:iCs/>
    </w:rPr>
  </w:style>
  <w:style w:type="character" w:styleId="Hyperlink">
    <w:name w:val="Hyperlink"/>
    <w:basedOn w:val="DefaultParagraphFont"/>
    <w:uiPriority w:val="99"/>
    <w:semiHidden/>
    <w:unhideWhenUsed/>
    <w:rsid w:val="007D2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52020DC0493&amp;from=EN" TargetMode="External"/><Relationship Id="rId13" Type="http://schemas.openxmlformats.org/officeDocument/2006/relationships/hyperlink" Target="https://www.tandfonline.com/doi/full/10.1080/01402390.2023.2177987" TargetMode="External"/><Relationship Id="rId18" Type="http://schemas.openxmlformats.org/officeDocument/2006/relationships/hyperlink" Target="https://eur-lex.europa.eu/legal-content/EN/TXT/HTML/?uri=CELEX:12005SA&amp;from=EN" TargetMode="External"/><Relationship Id="rId3" Type="http://schemas.openxmlformats.org/officeDocument/2006/relationships/styles" Target="styles.xml"/><Relationship Id="rId21" Type="http://schemas.openxmlformats.org/officeDocument/2006/relationships/hyperlink" Target="https://www.presidency.ro/files/userfiles/Documente/Strategia_Nationala_de_Aparare_a_Tarii_2020_2024.pdf" TargetMode="External"/><Relationship Id="rId7" Type="http://schemas.openxmlformats.org/officeDocument/2006/relationships/hyperlink" Target="https://eur-lex.europa.eu/legal-content/EN/TXT/HTML/?uri=CELEX:32006D0928&amp;from=EN" TargetMode="External"/><Relationship Id="rId12" Type="http://schemas.openxmlformats.org/officeDocument/2006/relationships/hyperlink" Target="https://www.presidency.ro/en/president/romania" TargetMode="External"/><Relationship Id="rId17" Type="http://schemas.openxmlformats.org/officeDocument/2006/relationships/hyperlink" Target="https://sgg.gov.ro/1/wp-content/uploads/2021/08/STRATEGIA-MILITARA-A-ROMANIEI-1.pdf" TargetMode="External"/><Relationship Id="rId2" Type="http://schemas.openxmlformats.org/officeDocument/2006/relationships/numbering" Target="numbering.xml"/><Relationship Id="rId16" Type="http://schemas.openxmlformats.org/officeDocument/2006/relationships/hyperlink" Target="https://sgg.gov.ro/1/wp-content/uploads/2021/03/CARTA-ALBA-A-APARARII-.pdf" TargetMode="External"/><Relationship Id="rId20" Type="http://schemas.openxmlformats.org/officeDocument/2006/relationships/hyperlink" Target="https://www.cdep.ro/pls/dic/site2015.page?den=act2_1&amp;par1=3" TargetMode="External"/><Relationship Id="rId1" Type="http://schemas.openxmlformats.org/officeDocument/2006/relationships/customXml" Target="../customXml/item1.xml"/><Relationship Id="rId6" Type="http://schemas.openxmlformats.org/officeDocument/2006/relationships/hyperlink" Target="mailto:radu.cucuta@dri.snspa.ro" TargetMode="External"/><Relationship Id="rId11" Type="http://schemas.openxmlformats.org/officeDocument/2006/relationships/hyperlink" Target="https://www.presidency.ro/ro/presa/noutati-despre-proiectul-de-tara/declaratia-de-presa-a-presedintelui-romaniei-domnul-klaus-iohannis1466763350" TargetMode="External"/><Relationship Id="rId5" Type="http://schemas.openxmlformats.org/officeDocument/2006/relationships/webSettings" Target="webSettings.xml"/><Relationship Id="rId15" Type="http://schemas.openxmlformats.org/officeDocument/2006/relationships/hyperlink" Target="https://publications.jrc.ec.europa.eu/repository/handle/JRC106265" TargetMode="External"/><Relationship Id="rId23" Type="http://schemas.openxmlformats.org/officeDocument/2006/relationships/theme" Target="theme/theme1.xml"/><Relationship Id="rId10" Type="http://schemas.openxmlformats.org/officeDocument/2006/relationships/hyperlink" Target="https://www.radicalphilosophy.com/article/the-political-function-of-the-intellectual" TargetMode="External"/><Relationship Id="rId19" Type="http://schemas.openxmlformats.org/officeDocument/2006/relationships/hyperlink" Target="https://legislatie.just.ro/Public/DetaliiDocumentAfis/198967" TargetMode="External"/><Relationship Id="rId4" Type="http://schemas.openxmlformats.org/officeDocument/2006/relationships/settings" Target="settings.xml"/><Relationship Id="rId9" Type="http://schemas.openxmlformats.org/officeDocument/2006/relationships/hyperlink" Target="https://web.archive.org/web/20190723111536/https:/pdfs.semanticscholar.org/325c/4fc7c1ed82460988363c2ed3bd9618a10a9c.pdf" TargetMode="External"/><Relationship Id="rId14" Type="http://schemas.openxmlformats.org/officeDocument/2006/relationships/hyperlink" Target="https://www.comw.org/qdr/fulltext/01cerami.pdf"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A546-638E-4820-9D08-686E6314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4710</Words>
  <Characters>26852</Characters>
  <Application>Microsoft Office Word</Application>
  <DocSecurity>0</DocSecurity>
  <Lines>223</Lines>
  <Paragraphs>62</Paragraphs>
  <ScaleCrop>false</ScaleCrop>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Cucuta Radu-Alexandru</dc:creator>
  <cp:keywords/>
  <dc:description/>
  <cp:lastModifiedBy>Cucuta Radu-Alexandru</cp:lastModifiedBy>
  <cp:revision>7</cp:revision>
  <dcterms:created xsi:type="dcterms:W3CDTF">2023-04-10T14:43:00Z</dcterms:created>
  <dcterms:modified xsi:type="dcterms:W3CDTF">2023-04-10T14:48:00Z</dcterms:modified>
</cp:coreProperties>
</file>